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F88465">
      <w:pPr>
        <w:pStyle w:val="133"/>
        <w:kinsoku/>
        <w:wordWrap/>
        <w:overflowPunct/>
        <w:topLinePunct w:val="0"/>
        <w:bidi w:val="0"/>
        <w:snapToGrid/>
        <w:spacing w:line="360" w:lineRule="auto"/>
        <w:rPr>
          <w:rFonts w:hint="default" w:ascii="Times New Roman" w:hAnsi="Times New Roman" w:eastAsia="黑体" w:cs="Times New Roman"/>
          <w:szCs w:val="20"/>
          <w:highlight w:val="none"/>
          <w:lang w:val="en-US" w:eastAsia="zh-CN"/>
        </w:rPr>
      </w:pPr>
      <w:r>
        <w:rPr>
          <w:rFonts w:hint="default" w:ascii="Times New Roman" w:hAnsi="Times New Roman" w:cs="Times New Roman"/>
          <w:szCs w:val="20"/>
          <w:highlight w:val="none"/>
        </w:rPr>
        <w:t xml:space="preserve">ICS </w:t>
      </w:r>
      <w:r>
        <w:rPr>
          <w:rFonts w:hint="eastAsia"/>
          <w:highlight w:val="none"/>
          <w:lang w:val="en-US" w:eastAsia="zh-CN"/>
        </w:rPr>
        <w:t>87</w:t>
      </w:r>
      <w:r>
        <w:rPr>
          <w:highlight w:val="none"/>
        </w:rPr>
        <w:t>.</w:t>
      </w:r>
      <w:r>
        <w:rPr>
          <w:rFonts w:hint="eastAsia"/>
          <w:highlight w:val="none"/>
          <w:lang w:val="en-US" w:eastAsia="zh-CN"/>
        </w:rPr>
        <w:t>040</w:t>
      </w:r>
    </w:p>
    <w:p w14:paraId="4435EA99">
      <w:pPr>
        <w:pStyle w:val="133"/>
        <w:kinsoku/>
        <w:wordWrap/>
        <w:overflowPunct/>
        <w:topLinePunct w:val="0"/>
        <w:bidi w:val="0"/>
        <w:snapToGrid/>
        <w:spacing w:line="360" w:lineRule="auto"/>
        <w:rPr>
          <w:rFonts w:hint="default" w:ascii="Times New Roman" w:hAnsi="Times New Roman" w:eastAsia="黑体" w:cs="Times New Roman"/>
          <w:szCs w:val="20"/>
          <w:highlight w:val="none"/>
          <w:lang w:val="en-US" w:eastAsia="zh-CN"/>
        </w:rPr>
      </w:pPr>
      <w:r>
        <w:rPr>
          <w:rFonts w:hint="eastAsia" w:ascii="Times New Roman" w:cs="Times New Roman"/>
          <w:szCs w:val="20"/>
          <w:highlight w:val="none"/>
          <w:lang w:val="en-US" w:eastAsia="zh-CN"/>
        </w:rPr>
        <w:t>CCS G 51</w:t>
      </w:r>
    </w:p>
    <w:p w14:paraId="5E37F020">
      <w:pPr>
        <w:kinsoku/>
        <w:wordWrap/>
        <w:overflowPunct/>
        <w:topLinePunct w:val="0"/>
        <w:bidi w:val="0"/>
        <w:snapToGrid/>
        <w:spacing w:line="360" w:lineRule="auto"/>
        <w:jc w:val="distribute"/>
        <w:rPr>
          <w:rFonts w:hint="default" w:ascii="Times New Roman" w:hAnsi="Times New Roman" w:eastAsia="黑体" w:cs="Times New Roman"/>
          <w:sz w:val="52"/>
          <w:szCs w:val="52"/>
          <w:highlight w:val="none"/>
        </w:rPr>
      </w:pPr>
      <w:r>
        <w:rPr>
          <w:rFonts w:hint="default" w:ascii="Times New Roman" w:hAnsi="Times New Roman" w:cs="Times New Roman"/>
          <w:highlight w:val="none"/>
        </w:rPr>
        <mc:AlternateContent>
          <mc:Choice Requires="wps">
            <w:drawing>
              <wp:anchor distT="0" distB="0" distL="114300" distR="114300" simplePos="0" relativeHeight="251665408" behindDoc="0" locked="0" layoutInCell="1" allowOverlap="1">
                <wp:simplePos x="0" y="0"/>
                <wp:positionH relativeFrom="column">
                  <wp:posOffset>3922395</wp:posOffset>
                </wp:positionH>
                <wp:positionV relativeFrom="paragraph">
                  <wp:posOffset>-121285</wp:posOffset>
                </wp:positionV>
                <wp:extent cx="2011045" cy="891540"/>
                <wp:effectExtent l="0" t="0" r="8255" b="3810"/>
                <wp:wrapNone/>
                <wp:docPr id="10" name="Text Box 396"/>
                <wp:cNvGraphicFramePr/>
                <a:graphic xmlns:a="http://schemas.openxmlformats.org/drawingml/2006/main">
                  <a:graphicData uri="http://schemas.microsoft.com/office/word/2010/wordprocessingShape">
                    <wps:wsp>
                      <wps:cNvSpPr txBox="1">
                        <a:spLocks noChangeArrowheads="1"/>
                      </wps:cNvSpPr>
                      <wps:spPr bwMode="auto">
                        <a:xfrm>
                          <a:off x="0" y="0"/>
                          <a:ext cx="2011045" cy="891540"/>
                        </a:xfrm>
                        <a:prstGeom prst="rect">
                          <a:avLst/>
                        </a:prstGeom>
                        <a:solidFill>
                          <a:srgbClr val="FFFFFF"/>
                        </a:solidFill>
                        <a:ln>
                          <a:noFill/>
                        </a:ln>
                      </wps:spPr>
                      <wps:txbx>
                        <w:txbxContent>
                          <w:p w14:paraId="6277E42A">
                            <w:pPr>
                              <w:pStyle w:val="73"/>
                              <w:rPr>
                                <w:spacing w:val="-20"/>
                                <w:w w:val="90"/>
                              </w:rPr>
                            </w:pPr>
                            <w:r>
                              <w:rPr>
                                <w:rFonts w:hint="eastAsia"/>
                                <w:spacing w:val="-20"/>
                                <w:w w:val="90"/>
                              </w:rPr>
                              <w:t>CBMF</w:t>
                            </w:r>
                          </w:p>
                        </w:txbxContent>
                      </wps:txbx>
                      <wps:bodyPr rot="0" vert="horz" wrap="square" lIns="91440" tIns="45720" rIns="91440" bIns="45720" anchor="t" anchorCtr="0" upright="1">
                        <a:noAutofit/>
                      </wps:bodyPr>
                    </wps:wsp>
                  </a:graphicData>
                </a:graphic>
              </wp:anchor>
            </w:drawing>
          </mc:Choice>
          <mc:Fallback>
            <w:pict>
              <v:shape id="Text Box 396" o:spid="_x0000_s1026" o:spt="202" type="#_x0000_t202" style="position:absolute;left:0pt;margin-left:308.85pt;margin-top:-9.55pt;height:70.2pt;width:158.35pt;z-index:251665408;mso-width-relative:page;mso-height-relative:page;" fillcolor="#FFFFFF" filled="t" stroked="f" coordsize="21600,21600" o:gfxdata="UEsDBAoAAAAAAIdO4kAAAAAAAAAAAAAAAAAEAAAAZHJzL1BLAwQUAAAACACHTuJAAESnptkAAAAL&#10;AQAADwAAAGRycy9kb3ducmV2LnhtbE2PQW6DMBBF95V6B2sqdVMlxgmBQjCRWqlVt0lzgAEmgIJt&#10;hJ2Q3L7TVbsc/af/3xS7mxnElSbfO6tBLSMQZGvX9LbVcPz+WLyC8AFtg4OzpOFOHnbl40OBeeNm&#10;u6frIbSCS6zPUUMXwphL6euODPqlG8lydnKTwcDn1MpmwpnLzSBXUZRIg73lhQ5Heu+oPh8uRsPp&#10;a37ZZHP1GY7pPk7esE8rd9f6+UlFWxCBbuEPhl99VoeSnSp3sY0Xg4ZEpSmjGhYqUyCYyNZxDKJi&#10;dKXWIMtC/v+h/AFQSwMEFAAAAAgAh07iQAa2wVAcAgAAQAQAAA4AAABkcnMvZTJvRG9jLnhtbK1T&#10;TW/bMAy9D9h/EHRfHGdJ1xhxii5BhgHdB9DuB8iyHAuTRY1SYne/fpScZkF26WE+GKJIPvI9Uqu7&#10;oTPsqNBrsCXPJ1POlJVQa7sv+Y+n3btbznwQthYGrCr5s/L8bv32zap3hZpBC6ZWyAjE+qJ3JW9D&#10;cEWWedmqTvgJOGXJ2QB2IpCJ+6xG0RN6Z7LZdHqT9YC1Q5DKe7rdjk5+QsTXAELTaKm2IA+dsmFE&#10;RWVEIEq+1c7zdeq2aZQM35rGq8BMyYlpSH8qQucq/rP1ShR7FK7V8tSCeE0LV5w6oS0VPUNtRRDs&#10;gPofqE5LBA9NmEjospFIUoRY5NMrbR5b4VTiQlJ7dxbd/z9Y+fX4HZmuaRNIEis6mviTGgL7CAN7&#10;v7yJAvXOFxT36CgyDOSg4ETWuweQPz2zsGmF3at7ROhbJWpqMI+Z2UXqiOMjSNV/gZoKiUOABDQ0&#10;2EX1SA9G6NTJ83k4sRlJl6RPPp0vOJPku13mi3maXiaKl2yHPnxS0LF4KDnS8BO6OD74ELsRxUtI&#10;LObB6HqnjUkG7quNQXYUtCi79CUCV2HGxmALMW1EjDeJZmQ2cgxDNZxkq6B+JsII4+LRs6NDC/ib&#10;s56WruT+10Gg4sx8tiTaMp8TKxaSMV98mJGBl57q0iOsJKiSB87G4yaMm31wqPctVRrHZOGehG50&#10;0iBOZOzq1DctVpLm9Aji5l7aKervw1//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ABEp6bZAAAA&#10;CwEAAA8AAAAAAAAAAQAgAAAAIgAAAGRycy9kb3ducmV2LnhtbFBLAQIUABQAAAAIAIdO4kAGtsFQ&#10;HAIAAEAEAAAOAAAAAAAAAAEAIAAAACgBAABkcnMvZTJvRG9jLnhtbFBLBQYAAAAABgAGAFkBAAC2&#10;BQAAAAA=&#10;">
                <v:fill on="t" focussize="0,0"/>
                <v:stroke on="f"/>
                <v:imagedata o:title=""/>
                <o:lock v:ext="edit" aspectratio="f"/>
                <v:textbox>
                  <w:txbxContent>
                    <w:p w14:paraId="6277E42A">
                      <w:pPr>
                        <w:pStyle w:val="73"/>
                        <w:rPr>
                          <w:spacing w:val="-20"/>
                          <w:w w:val="90"/>
                        </w:rPr>
                      </w:pPr>
                      <w:r>
                        <w:rPr>
                          <w:rFonts w:hint="eastAsia"/>
                          <w:spacing w:val="-20"/>
                          <w:w w:val="90"/>
                        </w:rPr>
                        <w:t>CBMF</w:t>
                      </w:r>
                    </w:p>
                  </w:txbxContent>
                </v:textbox>
              </v:shape>
            </w:pict>
          </mc:Fallback>
        </mc:AlternateContent>
      </w:r>
      <w:r>
        <w:rPr>
          <w:rFonts w:hint="default" w:ascii="Times New Roman" w:hAnsi="Times New Roman" w:eastAsia="黑体" w:cs="Times New Roman"/>
          <w:sz w:val="52"/>
          <w:szCs w:val="52"/>
          <w:highlight w:val="none"/>
        </w:rPr>
        <w:t>中国建筑材料协会标准</w:t>
      </w:r>
    </w:p>
    <w:p w14:paraId="1520C6BA">
      <w:pPr>
        <w:pStyle w:val="27"/>
        <w:kinsoku/>
        <w:wordWrap/>
        <w:overflowPunct/>
        <w:topLinePunct w:val="0"/>
        <w:bidi w:val="0"/>
        <w:snapToGrid/>
        <w:spacing w:line="360" w:lineRule="auto"/>
        <w:ind w:right="-2" w:firstLine="0" w:firstLineChars="0"/>
        <w:jc w:val="right"/>
        <w:rPr>
          <w:rFonts w:hint="default" w:ascii="Times New Roman" w:hAnsi="Times New Roman" w:eastAsia="黑体" w:cs="Times New Roman"/>
          <w:b/>
          <w:sz w:val="24"/>
          <w:szCs w:val="24"/>
          <w:highlight w:val="none"/>
        </w:rPr>
      </w:pPr>
      <w:r>
        <w:rPr>
          <w:rFonts w:hint="default" w:ascii="Times New Roman" w:hAnsi="Times New Roman" w:eastAsia="宋体" w:cs="Times New Roman"/>
          <w:kern w:val="0"/>
          <w:sz w:val="28"/>
          <w:szCs w:val="20"/>
          <w:highlight w:val="none"/>
        </w:rPr>
        <w:t>T/CBMF XX-XXXX</w:t>
      </w:r>
    </w:p>
    <w:p w14:paraId="06930715">
      <w:pPr>
        <w:pStyle w:val="27"/>
        <w:kinsoku/>
        <w:wordWrap/>
        <w:overflowPunct/>
        <w:topLinePunct w:val="0"/>
        <w:bidi w:val="0"/>
        <w:snapToGrid/>
        <w:spacing w:line="360" w:lineRule="auto"/>
        <w:ind w:right="420" w:rightChars="200" w:firstLine="0" w:firstLineChars="0"/>
        <w:jc w:val="right"/>
        <w:rPr>
          <w:rFonts w:hint="default" w:ascii="Times New Roman" w:hAnsi="Times New Roman" w:eastAsia="黑体" w:cs="Times New Roman"/>
          <w:sz w:val="44"/>
          <w:szCs w:val="44"/>
          <w:highlight w:val="none"/>
        </w:rPr>
      </w:pPr>
      <w:r>
        <w:rPr>
          <w:rFonts w:hint="default" w:ascii="Times New Roman" w:hAnsi="Times New Roman" w:cs="Times New Roman"/>
          <w:highlight w:val="none"/>
        </w:rPr>
        <mc:AlternateContent>
          <mc:Choice Requires="wps">
            <w:drawing>
              <wp:anchor distT="0" distB="0" distL="114300" distR="114300" simplePos="0" relativeHeight="251666432" behindDoc="0" locked="0" layoutInCell="1" allowOverlap="1">
                <wp:simplePos x="0" y="0"/>
                <wp:positionH relativeFrom="column">
                  <wp:posOffset>-74930</wp:posOffset>
                </wp:positionH>
                <wp:positionV relativeFrom="paragraph">
                  <wp:posOffset>216535</wp:posOffset>
                </wp:positionV>
                <wp:extent cx="6121400" cy="0"/>
                <wp:effectExtent l="0" t="6350" r="0" b="6350"/>
                <wp:wrapNone/>
                <wp:docPr id="12" name="直接连接符 22"/>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anchor>
            </w:drawing>
          </mc:Choice>
          <mc:Fallback>
            <w:pict>
              <v:line id="直接连接符 22" o:spid="_x0000_s1026" o:spt="20" style="position:absolute;left:0pt;margin-left:-5.9pt;margin-top:17.05pt;height:0pt;width:482pt;z-index:251666432;mso-width-relative:page;mso-height-relative:page;" filled="f" stroked="t" coordsize="21600,21600" o:gfxdata="UEsDBAoAAAAAAIdO4kAAAAAAAAAAAAAAAAAEAAAAZHJzL1BLAwQUAAAACACHTuJAQOItwtgAAAAJ&#10;AQAADwAAAGRycy9kb3ducmV2LnhtbE2PwU7DMBBE70j8g7VIXFDrOFAKIU4lInrh1oIQx228JIF4&#10;bcVOW/h6jDjAcWdHM2/K1dEOYk9j6B1rUPMMBHHjTM+thuen9ewGRIjIBgfHpOGTAqyq05MSC+MO&#10;vKH9NrYihXAoUEMXoy+kDE1HFsPceeL0e3OjxZjOsZVmxEMKt4PMs+xaWuw5NXToqe6o+dhOVsP7&#10;xcu0tuzrZfv48LVcTJv61d9rfX6msjsQkY7xzww/+AkdqsS0cxObIAYNM6USetRweaVAJMPtIs9B&#10;7H4FWZXy/4LqG1BLAwQUAAAACACHTuJA8gJCjuQBAACtAwAADgAAAGRycy9lMm9Eb2MueG1srVPN&#10;bhMxEL4j8Q6W72Q3K1SqVTY9JCqXApFaHmDi9WYtbI9lO9nkJXgBJG5w4sidt6F9DMbOD2249MAe&#10;LI9n5pv5vpmdXG2NZhvpg0Lb8PGo5Exaga2yq4Z/vLt+dclZiGBb0Ghlw3cy8KvpyxeTwdWywh51&#10;Kz0jEBvqwTW8j9HVRRFELw2EETppydmhNxDJ9Kui9TAQutFFVZYXxYC+dR6FDIFe53snPyD65wBi&#10;1ykh5yjWRtq4R/VSQyRKoVcu8GnutuukiB+6LsjIdMOJacwnFaH7Mp3FdAL1yoPrlTi0AM9p4YyT&#10;AWWp6AlqDhHY2qt/oIwSHgN2cSTQFHsiWRFiMS7PtLntwcnMhaQO7iR6+H+w4v1m4ZlqaRMqziwY&#10;mvj9l5+/P397+PWVzvsf31lVJZkGF2qKntmFT0TF1t66GxSfArM468GuZG73bucIYpwyiicpyQiO&#10;ii2Hd9hSDKwjZs22nTcJktRg2zya3Wk0chuZoMeLcTV+XdLUxNFXQH1MdD7EtxINS5eGa2WTalDD&#10;5ibE1AjUx5D0bPFaaZ0nry0bEvU3BJ1cAbVqkzcbfrWcac82kJbnsqQv0zoL87i27b6KtgfWiehe&#10;siW2u4U/qkFTzO0cNi6tyWM7Z//9y6Z/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EDiLcLYAAAA&#10;CQEAAA8AAAAAAAAAAQAgAAAAIgAAAGRycy9kb3ducmV2LnhtbFBLAQIUABQAAAAIAIdO4kDyAkKO&#10;5AEAAK0DAAAOAAAAAAAAAAEAIAAAACcBAABkcnMvZTJvRG9jLnhtbFBLBQYAAAAABgAGAFkBAAB9&#10;BQAAAAA=&#10;">
                <v:fill on="f" focussize="0,0"/>
                <v:stroke weight="1pt" color="#080000" joinstyle="round"/>
                <v:imagedata o:title=""/>
                <o:lock v:ext="edit" aspectratio="f"/>
              </v:line>
            </w:pict>
          </mc:Fallback>
        </mc:AlternateContent>
      </w:r>
    </w:p>
    <w:p w14:paraId="163B4C89">
      <w:pPr>
        <w:pStyle w:val="27"/>
        <w:kinsoku/>
        <w:wordWrap/>
        <w:overflowPunct/>
        <w:topLinePunct w:val="0"/>
        <w:bidi w:val="0"/>
        <w:snapToGrid/>
        <w:spacing w:line="360" w:lineRule="auto"/>
        <w:ind w:firstLine="0" w:firstLineChars="0"/>
        <w:jc w:val="center"/>
        <w:rPr>
          <w:rFonts w:hint="default" w:ascii="Times New Roman" w:hAnsi="Times New Roman" w:eastAsia="黑体" w:cs="Times New Roman"/>
          <w:kern w:val="0"/>
          <w:sz w:val="28"/>
          <w:szCs w:val="28"/>
          <w:highlight w:val="none"/>
        </w:rPr>
      </w:pPr>
    </w:p>
    <w:p w14:paraId="0C445060">
      <w:pPr>
        <w:pStyle w:val="27"/>
        <w:kinsoku/>
        <w:wordWrap/>
        <w:overflowPunct/>
        <w:topLinePunct w:val="0"/>
        <w:bidi w:val="0"/>
        <w:snapToGrid/>
        <w:spacing w:line="360" w:lineRule="auto"/>
        <w:ind w:firstLine="0" w:firstLineChars="0"/>
        <w:jc w:val="center"/>
        <w:rPr>
          <w:rFonts w:hint="default" w:ascii="Times New Roman" w:hAnsi="Times New Roman" w:eastAsia="黑体" w:cs="Times New Roman"/>
          <w:kern w:val="0"/>
          <w:sz w:val="28"/>
          <w:szCs w:val="28"/>
          <w:highlight w:val="none"/>
        </w:rPr>
      </w:pPr>
    </w:p>
    <w:p w14:paraId="6029A39D">
      <w:pPr>
        <w:pStyle w:val="27"/>
        <w:kinsoku/>
        <w:wordWrap/>
        <w:overflowPunct/>
        <w:topLinePunct w:val="0"/>
        <w:bidi w:val="0"/>
        <w:snapToGrid/>
        <w:spacing w:line="360" w:lineRule="auto"/>
        <w:ind w:firstLine="0" w:firstLineChars="0"/>
        <w:jc w:val="center"/>
        <w:rPr>
          <w:rFonts w:hint="eastAsia" w:ascii="Times New Roman" w:hAnsi="Times New Roman" w:eastAsia="黑体" w:cs="Times New Roman"/>
          <w:color w:val="000000"/>
          <w:kern w:val="2"/>
          <w:sz w:val="44"/>
          <w:szCs w:val="44"/>
          <w:highlight w:val="none"/>
          <w:lang w:val="en-US" w:eastAsia="zh-CN" w:bidi="ar-SA"/>
        </w:rPr>
      </w:pPr>
      <w:r>
        <w:rPr>
          <w:rFonts w:hint="eastAsia" w:ascii="Times New Roman" w:hAnsi="Times New Roman" w:eastAsia="黑体" w:cs="Times New Roman"/>
          <w:color w:val="000000"/>
          <w:kern w:val="2"/>
          <w:sz w:val="44"/>
          <w:szCs w:val="44"/>
          <w:highlight w:val="none"/>
          <w:lang w:val="en-US" w:eastAsia="zh-CN" w:bidi="ar-SA"/>
        </w:rPr>
        <w:t xml:space="preserve">温室气体 产品碳足迹量化方法与要求 </w:t>
      </w:r>
    </w:p>
    <w:p w14:paraId="0745EB13">
      <w:pPr>
        <w:pStyle w:val="27"/>
        <w:kinsoku/>
        <w:wordWrap/>
        <w:overflowPunct/>
        <w:topLinePunct w:val="0"/>
        <w:bidi w:val="0"/>
        <w:snapToGrid/>
        <w:spacing w:line="360" w:lineRule="auto"/>
        <w:ind w:firstLine="0" w:firstLineChars="0"/>
        <w:jc w:val="center"/>
        <w:rPr>
          <w:rFonts w:hint="default" w:ascii="Times New Roman" w:hAnsi="Times New Roman" w:eastAsia="黑体" w:cs="Times New Roman"/>
          <w:color w:val="000000"/>
          <w:kern w:val="2"/>
          <w:sz w:val="44"/>
          <w:szCs w:val="44"/>
          <w:highlight w:val="none"/>
          <w:lang w:val="en-US" w:eastAsia="zh-CN" w:bidi="ar-SA"/>
        </w:rPr>
      </w:pPr>
      <w:r>
        <w:rPr>
          <w:rFonts w:hint="eastAsia" w:ascii="Times New Roman" w:hAnsi="Times New Roman" w:eastAsia="黑体" w:cs="Times New Roman"/>
          <w:color w:val="000000"/>
          <w:kern w:val="2"/>
          <w:sz w:val="44"/>
          <w:szCs w:val="44"/>
          <w:highlight w:val="none"/>
          <w:lang w:val="en-US" w:eastAsia="zh-CN" w:bidi="ar-SA"/>
        </w:rPr>
        <w:t>建筑用墙面涂料</w:t>
      </w:r>
    </w:p>
    <w:p w14:paraId="0E1D4C7A">
      <w:pPr>
        <w:pStyle w:val="27"/>
        <w:kinsoku/>
        <w:wordWrap/>
        <w:overflowPunct/>
        <w:topLinePunct w:val="0"/>
        <w:bidi w:val="0"/>
        <w:snapToGrid/>
        <w:spacing w:line="360" w:lineRule="auto"/>
        <w:ind w:firstLine="0" w:firstLineChars="0"/>
        <w:jc w:val="center"/>
        <w:rPr>
          <w:rFonts w:hint="default" w:ascii="Times New Roman" w:hAnsi="Times New Roman" w:eastAsia="黑体" w:cs="Times New Roman"/>
          <w:kern w:val="0"/>
          <w:sz w:val="28"/>
          <w:szCs w:val="28"/>
          <w:highlight w:val="none"/>
        </w:rPr>
      </w:pPr>
      <w:r>
        <w:rPr>
          <w:rFonts w:hint="eastAsia" w:ascii="Times New Roman" w:hAnsi="Times New Roman" w:eastAsia="黑体" w:cs="Times New Roman"/>
          <w:kern w:val="0"/>
          <w:sz w:val="28"/>
          <w:szCs w:val="28"/>
          <w:highlight w:val="none"/>
          <w:lang w:val="en-US" w:eastAsia="zh-CN"/>
        </w:rPr>
        <w:t>Greenhouse gas—Quantification methods and requirements for carbon footprint of products—Wall coating material</w:t>
      </w:r>
    </w:p>
    <w:p w14:paraId="54E5156F">
      <w:pPr>
        <w:kinsoku/>
        <w:wordWrap/>
        <w:overflowPunct/>
        <w:topLinePunct w:val="0"/>
        <w:autoSpaceDE w:val="0"/>
        <w:autoSpaceDN w:val="0"/>
        <w:bidi w:val="0"/>
        <w:adjustRightInd w:val="0"/>
        <w:snapToGrid/>
        <w:spacing w:line="360" w:lineRule="auto"/>
        <w:jc w:val="center"/>
        <w:rPr>
          <w:rFonts w:hint="default" w:ascii="Times New Roman" w:hAnsi="Times New Roman" w:eastAsia="黑体" w:cs="Times New Roman"/>
          <w:kern w:val="0"/>
          <w:sz w:val="36"/>
          <w:szCs w:val="20"/>
          <w:highlight w:val="none"/>
        </w:rPr>
      </w:pPr>
      <w:r>
        <w:rPr>
          <w:rFonts w:hint="default" w:ascii="Times New Roman" w:hAnsi="Times New Roman" w:eastAsia="黑体" w:cs="Times New Roman"/>
          <w:color w:val="000000"/>
          <w:sz w:val="44"/>
          <w:szCs w:val="44"/>
          <w:highlight w:val="none"/>
        </w:rPr>
        <w:t>（</w:t>
      </w:r>
      <w:r>
        <w:rPr>
          <w:rFonts w:hint="eastAsia" w:eastAsia="黑体" w:cs="Times New Roman"/>
          <w:color w:val="000000"/>
          <w:sz w:val="44"/>
          <w:szCs w:val="44"/>
          <w:highlight w:val="none"/>
          <w:lang w:val="en-US" w:eastAsia="zh-CN"/>
        </w:rPr>
        <w:t>征求意见稿</w:t>
      </w:r>
      <w:r>
        <w:rPr>
          <w:rFonts w:hint="default" w:ascii="Times New Roman" w:hAnsi="Times New Roman" w:eastAsia="黑体" w:cs="Times New Roman"/>
          <w:color w:val="000000"/>
          <w:sz w:val="44"/>
          <w:szCs w:val="44"/>
          <w:highlight w:val="none"/>
        </w:rPr>
        <w:t>）</w:t>
      </w:r>
    </w:p>
    <w:p w14:paraId="1D5C59E5">
      <w:pPr>
        <w:pStyle w:val="27"/>
        <w:kinsoku/>
        <w:wordWrap/>
        <w:overflowPunct/>
        <w:topLinePunct w:val="0"/>
        <w:bidi w:val="0"/>
        <w:snapToGrid/>
        <w:spacing w:line="360" w:lineRule="auto"/>
        <w:ind w:firstLine="0" w:firstLineChars="0"/>
        <w:rPr>
          <w:rFonts w:hint="default" w:ascii="Times New Roman" w:hAnsi="Times New Roman" w:cs="Times New Roman"/>
          <w:sz w:val="18"/>
          <w:szCs w:val="18"/>
          <w:highlight w:val="none"/>
        </w:rPr>
      </w:pPr>
    </w:p>
    <w:p w14:paraId="284AF74A">
      <w:pPr>
        <w:pStyle w:val="27"/>
        <w:kinsoku/>
        <w:wordWrap/>
        <w:overflowPunct/>
        <w:topLinePunct w:val="0"/>
        <w:bidi w:val="0"/>
        <w:snapToGrid/>
        <w:spacing w:line="360" w:lineRule="auto"/>
        <w:ind w:firstLine="0" w:firstLineChars="0"/>
        <w:rPr>
          <w:rFonts w:hint="default" w:ascii="Times New Roman" w:hAnsi="Times New Roman" w:cs="Times New Roman"/>
          <w:sz w:val="18"/>
          <w:szCs w:val="18"/>
          <w:highlight w:val="none"/>
        </w:rPr>
      </w:pPr>
    </w:p>
    <w:p w14:paraId="1FC7F7B0">
      <w:pPr>
        <w:pStyle w:val="27"/>
        <w:kinsoku/>
        <w:wordWrap/>
        <w:overflowPunct/>
        <w:topLinePunct w:val="0"/>
        <w:bidi w:val="0"/>
        <w:snapToGrid/>
        <w:spacing w:line="360" w:lineRule="auto"/>
        <w:ind w:firstLine="0" w:firstLineChars="0"/>
        <w:rPr>
          <w:rFonts w:hint="default" w:ascii="Times New Roman" w:hAnsi="Times New Roman" w:cs="Times New Roman"/>
          <w:sz w:val="18"/>
          <w:szCs w:val="18"/>
          <w:highlight w:val="none"/>
        </w:rPr>
      </w:pPr>
    </w:p>
    <w:p w14:paraId="7C58BFC3">
      <w:pPr>
        <w:pStyle w:val="27"/>
        <w:kinsoku/>
        <w:wordWrap/>
        <w:overflowPunct/>
        <w:topLinePunct w:val="0"/>
        <w:bidi w:val="0"/>
        <w:snapToGrid/>
        <w:spacing w:line="360" w:lineRule="auto"/>
        <w:ind w:firstLine="0" w:firstLineChars="0"/>
        <w:rPr>
          <w:rFonts w:hint="default" w:ascii="Times New Roman" w:hAnsi="Times New Roman" w:cs="Times New Roman"/>
          <w:sz w:val="18"/>
          <w:szCs w:val="18"/>
          <w:highlight w:val="none"/>
        </w:rPr>
      </w:pPr>
    </w:p>
    <w:p w14:paraId="704745C4">
      <w:pPr>
        <w:pStyle w:val="27"/>
        <w:kinsoku/>
        <w:wordWrap/>
        <w:overflowPunct/>
        <w:topLinePunct w:val="0"/>
        <w:bidi w:val="0"/>
        <w:snapToGrid/>
        <w:spacing w:line="360" w:lineRule="auto"/>
        <w:ind w:firstLine="0" w:firstLineChars="0"/>
        <w:rPr>
          <w:rFonts w:hint="default" w:ascii="Times New Roman" w:hAnsi="Times New Roman" w:cs="Times New Roman"/>
          <w:sz w:val="18"/>
          <w:szCs w:val="18"/>
          <w:highlight w:val="none"/>
        </w:rPr>
      </w:pPr>
    </w:p>
    <w:p w14:paraId="56EEEF75">
      <w:pPr>
        <w:pStyle w:val="27"/>
        <w:kinsoku/>
        <w:wordWrap/>
        <w:overflowPunct/>
        <w:topLinePunct w:val="0"/>
        <w:bidi w:val="0"/>
        <w:snapToGrid/>
        <w:spacing w:line="360" w:lineRule="auto"/>
        <w:ind w:firstLine="0" w:firstLineChars="0"/>
        <w:rPr>
          <w:rFonts w:hint="default" w:ascii="Times New Roman" w:hAnsi="Times New Roman" w:cs="Times New Roman"/>
          <w:sz w:val="18"/>
          <w:szCs w:val="18"/>
          <w:highlight w:val="none"/>
        </w:rPr>
      </w:pPr>
    </w:p>
    <w:p w14:paraId="3B6B6F7C">
      <w:pPr>
        <w:pStyle w:val="27"/>
        <w:kinsoku/>
        <w:wordWrap/>
        <w:overflowPunct/>
        <w:topLinePunct w:val="0"/>
        <w:bidi w:val="0"/>
        <w:snapToGrid/>
        <w:spacing w:line="360" w:lineRule="auto"/>
        <w:ind w:firstLine="0" w:firstLineChars="0"/>
        <w:rPr>
          <w:rFonts w:hint="default" w:ascii="Times New Roman" w:hAnsi="Times New Roman" w:cs="Times New Roman"/>
          <w:sz w:val="18"/>
          <w:szCs w:val="18"/>
          <w:highlight w:val="none"/>
        </w:rPr>
      </w:pPr>
    </w:p>
    <w:p w14:paraId="1F2C4FD4">
      <w:pPr>
        <w:pStyle w:val="27"/>
        <w:kinsoku/>
        <w:wordWrap/>
        <w:overflowPunct/>
        <w:topLinePunct w:val="0"/>
        <w:bidi w:val="0"/>
        <w:snapToGrid/>
        <w:spacing w:line="360" w:lineRule="auto"/>
        <w:ind w:firstLine="0" w:firstLineChars="0"/>
        <w:rPr>
          <w:rFonts w:hint="default" w:ascii="Times New Roman" w:hAnsi="Times New Roman" w:cs="Times New Roman"/>
          <w:sz w:val="18"/>
          <w:szCs w:val="18"/>
          <w:highlight w:val="none"/>
        </w:rPr>
        <w:sectPr>
          <w:footerReference r:id="rId5" w:type="default"/>
          <w:pgSz w:w="11906" w:h="16838"/>
          <w:pgMar w:top="567" w:right="1134" w:bottom="1134" w:left="1418" w:header="1418" w:footer="1134" w:gutter="0"/>
          <w:pgNumType w:start="1"/>
          <w:cols w:space="720" w:num="1"/>
          <w:formProt w:val="0"/>
          <w:docGrid w:type="lines" w:linePitch="312" w:charSpace="0"/>
        </w:sectPr>
      </w:pPr>
      <w:r>
        <w:rPr>
          <w:rFonts w:hint="default" w:ascii="Times New Roman" w:hAnsi="Times New Roman" w:cs="Times New Roman"/>
          <w:highlight w:val="none"/>
        </w:rPr>
        <mc:AlternateContent>
          <mc:Choice Requires="wps">
            <w:drawing>
              <wp:anchor distT="0" distB="0" distL="114300" distR="114300" simplePos="0" relativeHeight="251668480" behindDoc="0" locked="1" layoutInCell="1" allowOverlap="1">
                <wp:simplePos x="0" y="0"/>
                <wp:positionH relativeFrom="margin">
                  <wp:posOffset>4244340</wp:posOffset>
                </wp:positionH>
                <wp:positionV relativeFrom="margin">
                  <wp:posOffset>8233410</wp:posOffset>
                </wp:positionV>
                <wp:extent cx="1685925" cy="312420"/>
                <wp:effectExtent l="0" t="0" r="9525" b="11430"/>
                <wp:wrapNone/>
                <wp:docPr id="13" name="文本框 19"/>
                <wp:cNvGraphicFramePr/>
                <a:graphic xmlns:a="http://schemas.openxmlformats.org/drawingml/2006/main">
                  <a:graphicData uri="http://schemas.microsoft.com/office/word/2010/wordprocessingShape">
                    <wps:wsp>
                      <wps:cNvSpPr txBox="1">
                        <a:spLocks noChangeArrowheads="1"/>
                      </wps:cNvSpPr>
                      <wps:spPr bwMode="auto">
                        <a:xfrm>
                          <a:off x="0" y="0"/>
                          <a:ext cx="1685925" cy="312420"/>
                        </a:xfrm>
                        <a:prstGeom prst="rect">
                          <a:avLst/>
                        </a:prstGeom>
                        <a:solidFill>
                          <a:srgbClr val="FFFFFF"/>
                        </a:solidFill>
                        <a:ln>
                          <a:noFill/>
                        </a:ln>
                      </wps:spPr>
                      <wps:txbx>
                        <w:txbxContent>
                          <w:p w14:paraId="35662E1C">
                            <w:pPr>
                              <w:pStyle w:val="82"/>
                            </w:pPr>
                            <w:r>
                              <w:t>XXXX</w:t>
                            </w:r>
                            <w:r>
                              <w:rPr>
                                <w:rFonts w:hint="eastAsia"/>
                              </w:rPr>
                              <w:t>-</w:t>
                            </w:r>
                            <w:r>
                              <w:t>XX</w:t>
                            </w:r>
                            <w:r>
                              <w:rPr>
                                <w:rFonts w:hint="eastAsia"/>
                              </w:rPr>
                              <w:t>-</w:t>
                            </w:r>
                            <w:r>
                              <w:t>XX</w:t>
                            </w:r>
                            <w:r>
                              <w:rPr>
                                <w:rFonts w:hint="eastAsia"/>
                              </w:rPr>
                              <w:t>实施</w:t>
                            </w:r>
                          </w:p>
                        </w:txbxContent>
                      </wps:txbx>
                      <wps:bodyPr rot="0" vert="horz" wrap="square" lIns="0" tIns="0" rIns="0" bIns="0" anchor="t" anchorCtr="0" upright="1">
                        <a:noAutofit/>
                      </wps:bodyPr>
                    </wps:wsp>
                  </a:graphicData>
                </a:graphic>
              </wp:anchor>
            </w:drawing>
          </mc:Choice>
          <mc:Fallback>
            <w:pict>
              <v:shape id="文本框 19" o:spid="_x0000_s1026" o:spt="202" type="#_x0000_t202" style="position:absolute;left:0pt;margin-left:334.2pt;margin-top:648.3pt;height:24.6pt;width:132.75pt;mso-position-horizontal-relative:margin;mso-position-vertical-relative:margin;z-index:251668480;mso-width-relative:page;mso-height-relative:page;" fillcolor="#FFFFFF" filled="t" stroked="f" coordsize="21600,21600" o:gfxdata="UEsDBAoAAAAAAIdO4kAAAAAAAAAAAAAAAAAEAAAAZHJzL1BLAwQUAAAACACHTuJAJi2RBtsAAAAN&#10;AQAADwAAAGRycy9kb3ducmV2LnhtbE2PwU7DMAyG70i8Q2QkLoila0fUlqaT2OAGh41p56wJbUXj&#10;VEm6bm+POcHR/n99/lytL3ZgZ+ND71DCcpEAM9g43WMr4fD59pgDC1GhVoNDI+FqAqzr25tKldrN&#10;uDPnfWwZQTCUSkIX41hyHprOWBUWbjRI2ZfzVkUafcu1VzPB7cDTJBHcqh7pQqdGs+lM872frASx&#10;9dO8w83D9vD6rj7GNj2+XI9S3t8tk2dg0VziXxl+9UkdanI6uQl1YAMxRL6iKgVpIQQwqhRZVgA7&#10;0SpbPeXA64r//6L+AVBLAwQUAAAACACHTuJAsGDzhiICAAAwBAAADgAAAGRycy9lMm9Eb2MueG1s&#10;rVPNjtMwEL4j8Q6W7zRtl13tRk1XS6sipOVHWngA13ESC8djxm6T8gDwBpy4cOe5+hyMnbasymUP&#10;5BCN45lv5vvmy+y2bw3bKvQabMEnozFnykoota0L/unj6sU1Zz4IWwoDVhV8pzy/nT9/NutcrqbQ&#10;gCkVMgKxPu9cwZsQXJ5lXjaqFX4ETlm6rABbEeiIdVai6Ai9Ndl0PL7KOsDSIUjlPX1dDpf8gIhP&#10;AYSq0lItQW5aZcOAisqIQJR8o53n8zRtVSkZ3leVV4GZghPTkN7UhOJ1fGfzmchrFK7R8jCCeMoI&#10;Z5xaoS01PUEtRRBsg/ofqFZLBA9VGElos4FIUoRYTMZn2jw0wqnEhaT27iS6/3+w8t32AzJdkhMu&#10;OLOipY3vf3zf//y9//WNTW6iQJ3zOeU9OMoM/SvoKTmR9e4e5GfPLCwaYWt1hwhdo0RJA05iZfao&#10;dMDxEWTdvYWSGolNgATUV9hG9UgPRui0nN1pOaoPTMaWV9eXN9NLziTdXUymL6dpe5nIj9UOfXit&#10;oGUxKDjS8hO62N77EKcR+TElNvNgdLnSxqQD1uuFQbYVZJRVehKBszRjY7KFWDYgxi+JZmQ2cAz9&#10;uj/ItoZyR4QRBuPRb0dBA/iVs45MV3D/ZSNQcWbeWBItOvQY4DFYHwNhJZUWPHA2hIswOHnjUNcN&#10;IQ9rsXBHwlY6cY4bGKY4zElGSlIcTB+d+vicsv7+6PM/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Ji2RBtsAAAANAQAADwAAAAAAAAABACAAAAAiAAAAZHJzL2Rvd25yZXYueG1sUEsBAhQAFAAAAAgA&#10;h07iQLBg84YiAgAAMAQAAA4AAAAAAAAAAQAgAAAAKgEAAGRycy9lMm9Eb2MueG1sUEsFBgAAAAAG&#10;AAYAWQEAAL4FAAAAAA==&#10;">
                <v:fill on="t" focussize="0,0"/>
                <v:stroke on="f"/>
                <v:imagedata o:title=""/>
                <o:lock v:ext="edit" aspectratio="f"/>
                <v:textbox inset="0mm,0mm,0mm,0mm">
                  <w:txbxContent>
                    <w:p w14:paraId="35662E1C">
                      <w:pPr>
                        <w:pStyle w:val="82"/>
                      </w:pPr>
                      <w:r>
                        <w:t>XXXX</w:t>
                      </w:r>
                      <w:r>
                        <w:rPr>
                          <w:rFonts w:hint="eastAsia"/>
                        </w:rPr>
                        <w:t>-</w:t>
                      </w:r>
                      <w:r>
                        <w:t>XX</w:t>
                      </w:r>
                      <w:r>
                        <w:rPr>
                          <w:rFonts w:hint="eastAsia"/>
                        </w:rPr>
                        <w:t>-</w:t>
                      </w:r>
                      <w:r>
                        <w:t>XX</w:t>
                      </w:r>
                      <w:r>
                        <w:rPr>
                          <w:rFonts w:hint="eastAsia"/>
                        </w:rPr>
                        <w:t>实施</w:t>
                      </w:r>
                    </w:p>
                  </w:txbxContent>
                </v:textbox>
                <w10:anchorlock/>
              </v:shape>
            </w:pict>
          </mc:Fallback>
        </mc:AlternateContent>
      </w:r>
      <w:r>
        <w:rPr>
          <w:rFonts w:hint="default" w:ascii="Times New Roman" w:hAnsi="Times New Roman" w:cs="Times New Roman"/>
          <w:highlight w:val="none"/>
        </w:rPr>
        <mc:AlternateContent>
          <mc:Choice Requires="wps">
            <w:drawing>
              <wp:anchor distT="0" distB="0" distL="114300" distR="114300" simplePos="0" relativeHeight="251667456" behindDoc="0" locked="1" layoutInCell="1" allowOverlap="1">
                <wp:simplePos x="0" y="0"/>
                <wp:positionH relativeFrom="margin">
                  <wp:posOffset>-16510</wp:posOffset>
                </wp:positionH>
                <wp:positionV relativeFrom="margin">
                  <wp:posOffset>8209915</wp:posOffset>
                </wp:positionV>
                <wp:extent cx="2019300" cy="312420"/>
                <wp:effectExtent l="0" t="0" r="0" b="11430"/>
                <wp:wrapNone/>
                <wp:docPr id="14" name="文本框 19"/>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072C2044">
                            <w:pPr>
                              <w:pStyle w:val="82"/>
                            </w:pPr>
                            <w:r>
                              <w:t>XXXX</w:t>
                            </w:r>
                            <w:r>
                              <w:rPr>
                                <w:rFonts w:hint="eastAsia"/>
                              </w:rPr>
                              <w:t>-</w:t>
                            </w:r>
                            <w:r>
                              <w:t>XX</w:t>
                            </w:r>
                            <w:r>
                              <w:rPr>
                                <w:rFonts w:hint="eastAsia"/>
                              </w:rPr>
                              <w:t>-</w:t>
                            </w:r>
                            <w:r>
                              <w:t>XX</w:t>
                            </w:r>
                            <w:r>
                              <w:rPr>
                                <w:rFonts w:hint="eastAsia"/>
                              </w:rPr>
                              <w:t>发布</w:t>
                            </w:r>
                          </w:p>
                        </w:txbxContent>
                      </wps:txbx>
                      <wps:bodyPr rot="0" vert="horz" wrap="square" lIns="0" tIns="0" rIns="0" bIns="0" anchor="t" anchorCtr="0" upright="1">
                        <a:noAutofit/>
                      </wps:bodyPr>
                    </wps:wsp>
                  </a:graphicData>
                </a:graphic>
              </wp:anchor>
            </w:drawing>
          </mc:Choice>
          <mc:Fallback>
            <w:pict>
              <v:shape id="文本框 19" o:spid="_x0000_s1026" o:spt="202" type="#_x0000_t202" style="position:absolute;left:0pt;margin-left:-1.3pt;margin-top:646.45pt;height:24.6pt;width:159pt;mso-position-horizontal-relative:margin;mso-position-vertical-relative:margin;z-index:251667456;mso-width-relative:page;mso-height-relative:page;" fillcolor="#FFFFFF" filled="t" stroked="f" coordsize="21600,21600" o:gfxdata="UEsDBAoAAAAAAIdO4kAAAAAAAAAAAAAAAAAEAAAAZHJzL1BLAwQUAAAACACHTuJAxCuZXtoAAAAM&#10;AQAADwAAAGRycy9kb3ducmV2LnhtbE2PwU7DMAyG70i8Q2QkLmhLm42KlaaT2OAGh41p56wxbUXj&#10;VE26bm+POcHRvz/9/lysL64TZxxC60lDOk9AIFXetlRrOHy+zZ5AhGjIms4TarhigHV5e1OY3PqJ&#10;dnjex1pwCYXcaGhi7HMpQ9WgM2HueyTeffnBmcjjUEs7mInLXSdVkmTSmZb4QmN63DRYfe9HpyHb&#10;DuO0o83D9vD6bj76Wh1frket7+/S5BlExEv8g+FXn9WhZKeTH8kG0WmYqYxJztVKrUAwsUgflyBO&#10;HC2WKgVZFvL/E+UPUEsDBBQAAAAIAIdO4kDOsausIQIAADAEAAAOAAAAZHJzL2Uyb0RvYy54bWyt&#10;U82O0zAQviPxDpbvNG13hdio6WppVYS0/EgLD+A4TmLheMzYbbI8ALwBp71w57n6HIydtqzKZQ/k&#10;EI3tmc/zffN5cT10hu0Ueg224LPJlDNlJVTaNgX//Gnz4hVnPghbCQNWFfxeeX69fP5s0btczaEF&#10;UylkBGJ93ruCtyG4PMu8bFUn/AScsnRYA3Yi0BKbrELRE3pnsvl0+jLrASuHIJX3tLseD/kBEZ8C&#10;CHWtpVqD3HbKhhEVlRGBKPlWO8+Xqdu6VjJ8qGuvAjMFJ6Yh/ekSisv4z5YLkTcoXKvloQXxlBbO&#10;OHVCW7r0BLUWQbAt6n+gOi0RPNRhIqHLRiJJEWIxm55pc9cKpxIXktq7k+j+/8HK97uPyHRFTrjk&#10;zIqOJr7/+WP/8Hv/6zubXUWBeudzyrtzlBmG1zBQciLr3S3IL55ZWLXCNuoGEfpWiYoanMXK7FHp&#10;iOMjSNm/g4ouEtsACWiosYvqkR6M0Gk496fhqCEwSZukz9XFlI4knV3M5pfzNL1M5Mdqhz68UdCx&#10;GBQcafgJXexufYjdiPyYEi/zYHS10cakBTblyiDbCTLKJn2JwFmasTHZQiwbEeNOohmZjRzDUA4H&#10;2Uqo7okwwmg8enYUtIDfOOvJdAX3X7cCFWfmrSXRokOPAR6D8hgIK6m04IGzMVyF0clbh7ppCXkc&#10;i4UbErbWiXOcwNjFoU8yUpLiYPro1MfrlPX3oS//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MQr&#10;mV7aAAAADAEAAA8AAAAAAAAAAQAgAAAAIgAAAGRycy9kb3ducmV2LnhtbFBLAQIUABQAAAAIAIdO&#10;4kDOsausIQIAADAEAAAOAAAAAAAAAAEAIAAAACkBAABkcnMvZTJvRG9jLnhtbFBLBQYAAAAABgAG&#10;AFkBAAC8BQAAAAA=&#10;">
                <v:fill on="t" focussize="0,0"/>
                <v:stroke on="f"/>
                <v:imagedata o:title=""/>
                <o:lock v:ext="edit" aspectratio="f"/>
                <v:textbox inset="0mm,0mm,0mm,0mm">
                  <w:txbxContent>
                    <w:p w14:paraId="072C2044">
                      <w:pPr>
                        <w:pStyle w:val="82"/>
                      </w:pPr>
                      <w:r>
                        <w:t>XXXX</w:t>
                      </w:r>
                      <w:r>
                        <w:rPr>
                          <w:rFonts w:hint="eastAsia"/>
                        </w:rPr>
                        <w:t>-</w:t>
                      </w:r>
                      <w:r>
                        <w:t>XX</w:t>
                      </w:r>
                      <w:r>
                        <w:rPr>
                          <w:rFonts w:hint="eastAsia"/>
                        </w:rPr>
                        <w:t>-</w:t>
                      </w:r>
                      <w:r>
                        <w:t>XX</w:t>
                      </w:r>
                      <w:r>
                        <w:rPr>
                          <w:rFonts w:hint="eastAsia"/>
                        </w:rPr>
                        <w:t>发布</w:t>
                      </w:r>
                    </w:p>
                  </w:txbxContent>
                </v:textbox>
                <w10:anchorlock/>
              </v:shape>
            </w:pict>
          </mc:Fallback>
        </mc:AlternateContent>
      </w:r>
      <w:r>
        <w:rPr>
          <w:rFonts w:hint="default" w:ascii="Times New Roman" w:hAnsi="Times New Roman" w:cs="Times New Roman"/>
          <w:highlight w:val="none"/>
        </w:rPr>
        <mc:AlternateContent>
          <mc:Choice Requires="wps">
            <w:drawing>
              <wp:anchor distT="0" distB="0" distL="114300" distR="114300" simplePos="0" relativeHeight="251670528" behindDoc="0" locked="1" layoutInCell="1" allowOverlap="1">
                <wp:simplePos x="0" y="0"/>
                <wp:positionH relativeFrom="margin">
                  <wp:posOffset>-168910</wp:posOffset>
                </wp:positionH>
                <wp:positionV relativeFrom="margin">
                  <wp:posOffset>8608060</wp:posOffset>
                </wp:positionV>
                <wp:extent cx="5977890" cy="363220"/>
                <wp:effectExtent l="0" t="0" r="3810" b="17780"/>
                <wp:wrapNone/>
                <wp:docPr id="11" name="文本框 21"/>
                <wp:cNvGraphicFramePr/>
                <a:graphic xmlns:a="http://schemas.openxmlformats.org/drawingml/2006/main">
                  <a:graphicData uri="http://schemas.microsoft.com/office/word/2010/wordprocessingShape">
                    <wps:wsp>
                      <wps:cNvSpPr txBox="1">
                        <a:spLocks noChangeArrowheads="1"/>
                      </wps:cNvSpPr>
                      <wps:spPr bwMode="auto">
                        <a:xfrm>
                          <a:off x="0" y="0"/>
                          <a:ext cx="5977890" cy="363220"/>
                        </a:xfrm>
                        <a:prstGeom prst="rect">
                          <a:avLst/>
                        </a:prstGeom>
                        <a:solidFill>
                          <a:srgbClr val="FFFFFF"/>
                        </a:solidFill>
                        <a:ln>
                          <a:noFill/>
                        </a:ln>
                      </wps:spPr>
                      <wps:txbx>
                        <w:txbxContent>
                          <w:p w14:paraId="45A888FF">
                            <w:pPr>
                              <w:pStyle w:val="119"/>
                              <w:jc w:val="distribute"/>
                            </w:pPr>
                            <w:r>
                              <w:rPr>
                                <w:rFonts w:hint="eastAsia"/>
                                <w:sz w:val="36"/>
                                <w:szCs w:val="36"/>
                              </w:rPr>
                              <w:t>中国建筑材料联合会</w:t>
                            </w:r>
                            <w:r>
                              <w:rPr>
                                <w:rStyle w:val="80"/>
                                <w:rFonts w:hint="eastAsia"/>
                              </w:rPr>
                              <w:t>发布</w:t>
                            </w:r>
                          </w:p>
                        </w:txbxContent>
                      </wps:txbx>
                      <wps:bodyPr rot="0" vert="horz" wrap="square" lIns="0" tIns="0" rIns="0" bIns="0" anchor="t" anchorCtr="0" upright="1">
                        <a:noAutofit/>
                      </wps:bodyPr>
                    </wps:wsp>
                  </a:graphicData>
                </a:graphic>
              </wp:anchor>
            </w:drawing>
          </mc:Choice>
          <mc:Fallback>
            <w:pict>
              <v:shape id="文本框 21" o:spid="_x0000_s1026" o:spt="202" type="#_x0000_t202" style="position:absolute;left:0pt;margin-left:-13.3pt;margin-top:677.8pt;height:28.6pt;width:470.7pt;mso-position-horizontal-relative:margin;mso-position-vertical-relative:margin;z-index:251670528;mso-width-relative:page;mso-height-relative:page;" fillcolor="#FFFFFF" filled="t" stroked="f" coordsize="21600,21600" o:gfxdata="UEsDBAoAAAAAAIdO4kAAAAAAAAAAAAAAAAAEAAAAZHJzL1BLAwQUAAAACACHTuJAj3reENsAAAAN&#10;AQAADwAAAGRycy9kb3ducmV2LnhtbE2PQU/DMAyF70j8h8hIXNCWtmzVKE0nscENDhvTzl4T2orG&#10;qZJ03f495gQ32+/p+Xvl+mJ7cTY+dI4UpPMEhKHa6Y4aBYfPt9kKRIhIGntHRsHVBFhXtzclFtpN&#10;tDPnfWwEh1AoUEEb41BIGerWWAxzNxhi7ct5i5FX30jtceJw28ssSXJpsSP+0OJgNq2pv/ejVZBv&#10;/TjtaPOwPby+48fQZMeX61Gp+7s0eQYRzSX+meEXn9GhYqaTG0kH0SuYZXnOVhYel0ue2PKULrjN&#10;iU+LNFuBrEr5v0X1A1BLAwQUAAAACACHTuJAzJK9uiMCAAAwBAAADgAAAGRycy9lMm9Eb2MueG1s&#10;rVPNjtMwEL4j8Q6W7zRtV+xP1HS1tCpCWn6khQdwHSexcDxm7DYpDwBvsCcu3HmuPgdjpy3LctkD&#10;OURjz8w3830znl33rWFbhV6DLfhkNOZMWQmltnXBP31cvbjkzAdhS2HAqoLvlOfX8+fPZp3L1RQa&#10;MKVCRiDW550reBOCy7PMy0a1wo/AKUvOCrAVgY5YZyWKjtBbk03H4/OsAywdglTe0+1ycPIDIj4F&#10;EKpKS7UEuWmVDQMqKiMCUfKNdp7PU7dVpWR4X1VeBWYKTkxD+lMRstfxn81nIq9RuEbLQwviKS08&#10;4tQKbanoCWopgmAb1P9AtVoieKjCSEKbDUSSIsRiMn6kzV0jnEpcSGrvTqL7/wcr320/INMlbcKE&#10;Mytamvj+/vv+x6/9z29sOokCdc7nFHfnKDL0r6Cn4ETWu1uQnz2zsGiErdUNInSNEiU1mDKzB6kD&#10;jo8g6+4tlFRIbAIkoL7CNqpHejBCp+HsTsNRfWCSLl9eXVxcXpFLku/s/Gw6TdPLRH7MdujDawUt&#10;i0bBkYaf0MX21gfiQaHHkFjMg9HlShuTDlivFwbZVtCirNIXqVPKX2HGxmALMW1wx5tEMzIbOIZ+&#10;3R9kW0O5I8IIw+LRsyOjAfzKWUdLV3D/ZSNQcWbeWBItbujRwKOxPhrCSkoteOBsMBdh2OSNQ103&#10;hDyMxcINCVvpxDlOYOji0CctUuJ1WPq4qQ/PKerPQ5//B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I963hDbAAAADQEAAA8AAAAAAAAAAQAgAAAAIgAAAGRycy9kb3ducmV2LnhtbFBLAQIUABQAAAAI&#10;AIdO4kDMkr26IwIAADAEAAAOAAAAAAAAAAEAIAAAACoBAABkcnMvZTJvRG9jLnhtbFBLBQYAAAAA&#10;BgAGAFkBAAC/BQAAAAA=&#10;">
                <v:fill on="t" focussize="0,0"/>
                <v:stroke on="f"/>
                <v:imagedata o:title=""/>
                <o:lock v:ext="edit" aspectratio="f"/>
                <v:textbox inset="0mm,0mm,0mm,0mm">
                  <w:txbxContent>
                    <w:p w14:paraId="45A888FF">
                      <w:pPr>
                        <w:pStyle w:val="119"/>
                        <w:jc w:val="distribute"/>
                      </w:pPr>
                      <w:r>
                        <w:rPr>
                          <w:rFonts w:hint="eastAsia"/>
                          <w:sz w:val="36"/>
                          <w:szCs w:val="36"/>
                        </w:rPr>
                        <w:t>中国建筑材料联合会</w:t>
                      </w:r>
                      <w:r>
                        <w:rPr>
                          <w:rStyle w:val="80"/>
                          <w:rFonts w:hint="eastAsia"/>
                        </w:rPr>
                        <w:t>发布</w:t>
                      </w:r>
                    </w:p>
                  </w:txbxContent>
                </v:textbox>
                <w10:anchorlock/>
              </v:shape>
            </w:pict>
          </mc:Fallback>
        </mc:AlternateContent>
      </w:r>
      <w:r>
        <w:rPr>
          <w:rFonts w:hint="default" w:ascii="Times New Roman" w:hAnsi="Times New Roman" w:cs="Times New Roman"/>
          <w:highlight w:val="none"/>
        </w:rPr>
        <mc:AlternateContent>
          <mc:Choice Requires="wps">
            <w:drawing>
              <wp:anchor distT="0" distB="0" distL="114300" distR="114300" simplePos="0" relativeHeight="251669504" behindDoc="0" locked="0" layoutInCell="1" allowOverlap="1">
                <wp:simplePos x="0" y="0"/>
                <wp:positionH relativeFrom="column">
                  <wp:posOffset>-79375</wp:posOffset>
                </wp:positionH>
                <wp:positionV relativeFrom="paragraph">
                  <wp:posOffset>835025</wp:posOffset>
                </wp:positionV>
                <wp:extent cx="5902960" cy="0"/>
                <wp:effectExtent l="0" t="4445" r="0" b="5080"/>
                <wp:wrapNone/>
                <wp:docPr id="15" name="AutoShape 38"/>
                <wp:cNvGraphicFramePr/>
                <a:graphic xmlns:a="http://schemas.openxmlformats.org/drawingml/2006/main">
                  <a:graphicData uri="http://schemas.microsoft.com/office/word/2010/wordprocessingShape">
                    <wps:wsp>
                      <wps:cNvCnPr>
                        <a:cxnSpLocks noChangeShapeType="1"/>
                      </wps:cNvCnPr>
                      <wps:spPr bwMode="auto">
                        <a:xfrm>
                          <a:off x="0" y="0"/>
                          <a:ext cx="5902960" cy="0"/>
                        </a:xfrm>
                        <a:prstGeom prst="straightConnector1">
                          <a:avLst/>
                        </a:prstGeom>
                        <a:noFill/>
                        <a:ln w="9525">
                          <a:solidFill>
                            <a:srgbClr val="000000"/>
                          </a:solidFill>
                          <a:round/>
                        </a:ln>
                      </wps:spPr>
                      <wps:bodyPr/>
                    </wps:wsp>
                  </a:graphicData>
                </a:graphic>
              </wp:anchor>
            </w:drawing>
          </mc:Choice>
          <mc:Fallback>
            <w:pict>
              <v:shape id="AutoShape 38" o:spid="_x0000_s1026" o:spt="32" type="#_x0000_t32" style="position:absolute;left:0pt;margin-left:-6.25pt;margin-top:65.75pt;height:0pt;width:464.8pt;z-index:251669504;mso-width-relative:page;mso-height-relative:page;" filled="f" stroked="t" coordsize="21600,21600" o:gfxdata="UEsDBAoAAAAAAIdO4kAAAAAAAAAAAAAAAAAEAAAAZHJzL1BLAwQUAAAACACHTuJAkfPV5NcAAAAL&#10;AQAADwAAAGRycy9kb3ducmV2LnhtbE2PQU/DMAyF70j8h8hIXNCWpGjAuqYTQuLAkW0S16zx2kLj&#10;VE26jv16jITEbrbf0/P3ivXJd+KIQ2wDGdBzBQKpCq6l2sBu+zp7AhGTJWe7QGjgGyOsy+urwuYu&#10;TPSOx02qBYdQzK2BJqU+lzJWDXob56FHYu0QBm8Tr0Mt3WAnDvedzJR6kN62xB8a2+NLg9XXZvQG&#10;MI4LrZ6Xvt69nae7j+z8OfVbY25vtFqBSHhK/2b4xWd0KJlpH0ZyUXQGZjpbsJWFe80DO5b6UYPY&#10;/11kWcjLDuUPUEsDBBQAAAAIAIdO4kD6FL881gEAALQDAAAOAAAAZHJzL2Uyb0RvYy54bWytU8Fu&#10;2zAMvQ/YPwi6L04ypGiMOMWQoLt0W4B2H6DIsi1MFgVSiZO/HyUnWdddepgPgmWS7/E90quHU+/E&#10;0SBZ8JWcTaZSGK+htr6t5M+Xx0/3UlBUvlYOvKnk2ZB8WH/8sBpCaebQgasNCgbxVA6hkl2MoSwK&#10;0p3pFU0gGM/BBrBXka/YFjWqgdF7V8yn07tiAKwDgjZE/HU7BuUFEd8DCE1jtdmCPvTGxxEVjVOR&#10;JVFnA8l17rZpjI4/moZMFK6SrDTmk0n4fZ/OYr1SZYsqdFZfWlDvaeGNpl5Zz6Q3qK2KShzQ/gPV&#10;W41A0MSJhr4YhWRHWMVs+sab504Fk7Ww1RRuptP/g9XfjzsUtuZNWEjhVc8T/3KIkKnF5/tk0BCo&#10;5LyN32GSqE/+OTyB/kXCw6ZTvjU5++UcuHiWKoq/StKFAtPsh29Qc45iguzWqcE+QbIP4pSHcr4N&#10;xZyi0PxxsZzOl3c8L32NFaq8Fgak+NVAL9JLJSmism0XN+A9jx5wlmnU8YliakuV14LE6uHROpc3&#10;wHkxVHK5mC9yAYGzdQqmNMJ2v3EojirtUH6yRo68TkM4+Hokcf5iQVI9+reH+rzDqzU8zNzNZfHS&#10;try+5+o/P9v6N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JHz1eTXAAAACwEAAA8AAAAAAAAAAQAg&#10;AAAAIgAAAGRycy9kb3ducmV2LnhtbFBLAQIUABQAAAAIAIdO4kD6FL881gEAALQDAAAOAAAAAAAA&#10;AAEAIAAAACYBAABkcnMvZTJvRG9jLnhtbFBLBQYAAAAABgAGAFkBAABuBQAAAAA=&#10;">
                <v:fill on="f" focussize="0,0"/>
                <v:stroke color="#000000" joinstyle="round"/>
                <v:imagedata o:title=""/>
                <o:lock v:ext="edit" aspectratio="f"/>
              </v:shape>
            </w:pict>
          </mc:Fallback>
        </mc:AlternateContent>
      </w:r>
    </w:p>
    <w:p w14:paraId="363529DE">
      <w:pPr>
        <w:jc w:val="center"/>
        <w:rPr>
          <w:rFonts w:hint="default" w:ascii="Times New Roman" w:hAnsi="Times New Roman" w:eastAsia="宋体" w:cs="Times New Roman"/>
          <w:highlight w:val="none"/>
        </w:rPr>
      </w:pPr>
      <w:r>
        <w:rPr>
          <w:rFonts w:hint="default" w:ascii="Times New Roman" w:hAnsi="Times New Roman" w:eastAsia="宋体" w:cs="Times New Roman"/>
          <w:sz w:val="32"/>
          <w:highlight w:val="none"/>
        </w:rPr>
        <w:t>目    次</w:t>
      </w:r>
      <w:r>
        <w:rPr>
          <w:rFonts w:hint="default" w:ascii="Times New Roman" w:hAnsi="Times New Roman" w:eastAsia="宋体" w:cs="Times New Roman"/>
          <w:highlight w:val="none"/>
        </w:rPr>
        <w:t xml:space="preserve">  </w:t>
      </w:r>
    </w:p>
    <w:p w14:paraId="0613F299">
      <w:pPr>
        <w:pStyle w:val="23"/>
        <w:tabs>
          <w:tab w:val="right" w:leader="dot" w:pos="9354"/>
          <w:tab w:val="clear" w:pos="9242"/>
        </w:tabs>
        <w:rPr>
          <w:b w:val="0"/>
          <w:bCs w:val="0"/>
        </w:rPr>
      </w:pPr>
      <w:r>
        <w:rPr>
          <w:rFonts w:hint="default" w:ascii="Times New Roman" w:hAnsi="Times New Roman" w:eastAsia="宋体" w:cs="Times New Roman"/>
          <w:sz w:val="21"/>
          <w:szCs w:val="21"/>
          <w:highlight w:val="none"/>
        </w:rPr>
        <w:fldChar w:fldCharType="begin"/>
      </w:r>
      <w:r>
        <w:rPr>
          <w:rFonts w:hint="default" w:ascii="Times New Roman" w:hAnsi="Times New Roman" w:eastAsia="宋体" w:cs="Times New Roman"/>
          <w:sz w:val="21"/>
          <w:szCs w:val="21"/>
          <w:highlight w:val="none"/>
        </w:rPr>
        <w:instrText xml:space="preserve">TOC \o "1-1" \h \u </w:instrText>
      </w:r>
      <w:r>
        <w:rPr>
          <w:rFonts w:hint="default" w:ascii="Times New Roman" w:hAnsi="Times New Roman" w:eastAsia="宋体" w:cs="Times New Roman"/>
          <w:sz w:val="21"/>
          <w:szCs w:val="21"/>
          <w:highlight w:val="none"/>
        </w:rPr>
        <w:fldChar w:fldCharType="separate"/>
      </w:r>
      <w:r>
        <w:rPr>
          <w:rFonts w:hint="default" w:ascii="Times New Roman" w:hAnsi="Times New Roman" w:eastAsia="宋体" w:cs="Times New Roman"/>
          <w:b w:val="0"/>
          <w:bCs w:val="0"/>
          <w:szCs w:val="21"/>
          <w:highlight w:val="none"/>
        </w:rPr>
        <w:fldChar w:fldCharType="begin"/>
      </w:r>
      <w:r>
        <w:rPr>
          <w:rFonts w:hint="default" w:ascii="Times New Roman" w:hAnsi="Times New Roman" w:eastAsia="宋体" w:cs="Times New Roman"/>
          <w:b w:val="0"/>
          <w:bCs w:val="0"/>
          <w:szCs w:val="21"/>
          <w:highlight w:val="none"/>
        </w:rPr>
        <w:instrText xml:space="preserve"> HYPERLINK \l _Toc13301 </w:instrText>
      </w:r>
      <w:r>
        <w:rPr>
          <w:rFonts w:hint="default" w:ascii="Times New Roman" w:hAnsi="Times New Roman" w:eastAsia="宋体" w:cs="Times New Roman"/>
          <w:b w:val="0"/>
          <w:bCs w:val="0"/>
          <w:szCs w:val="21"/>
          <w:highlight w:val="none"/>
        </w:rPr>
        <w:fldChar w:fldCharType="separate"/>
      </w:r>
      <w:r>
        <w:rPr>
          <w:rFonts w:hint="eastAsia" w:ascii="黑体" w:hAnsi="黑体" w:eastAsia="黑体" w:cs="黑体"/>
          <w:b w:val="0"/>
          <w:bCs w:val="0"/>
          <w:highlight w:val="none"/>
        </w:rPr>
        <w:t>前  言</w:t>
      </w:r>
      <w:r>
        <w:rPr>
          <w:b w:val="0"/>
          <w:bCs w:val="0"/>
        </w:rPr>
        <w:tab/>
      </w:r>
      <w:r>
        <w:rPr>
          <w:b w:val="0"/>
          <w:bCs w:val="0"/>
        </w:rPr>
        <w:fldChar w:fldCharType="begin"/>
      </w:r>
      <w:r>
        <w:rPr>
          <w:b w:val="0"/>
          <w:bCs w:val="0"/>
        </w:rPr>
        <w:instrText xml:space="preserve"> PAGEREF _Toc13301 \h </w:instrText>
      </w:r>
      <w:r>
        <w:rPr>
          <w:b w:val="0"/>
          <w:bCs w:val="0"/>
        </w:rPr>
        <w:fldChar w:fldCharType="separate"/>
      </w:r>
      <w:r>
        <w:rPr>
          <w:b w:val="0"/>
          <w:bCs w:val="0"/>
        </w:rPr>
        <w:t>III</w:t>
      </w:r>
      <w:r>
        <w:rPr>
          <w:b w:val="0"/>
          <w:bCs w:val="0"/>
        </w:rPr>
        <w:fldChar w:fldCharType="end"/>
      </w:r>
      <w:r>
        <w:rPr>
          <w:rFonts w:hint="default" w:ascii="Times New Roman" w:hAnsi="Times New Roman" w:eastAsia="宋体" w:cs="Times New Roman"/>
          <w:b w:val="0"/>
          <w:bCs w:val="0"/>
          <w:szCs w:val="21"/>
          <w:highlight w:val="none"/>
        </w:rPr>
        <w:fldChar w:fldCharType="end"/>
      </w:r>
    </w:p>
    <w:p w14:paraId="468E32EC">
      <w:pPr>
        <w:pStyle w:val="23"/>
        <w:tabs>
          <w:tab w:val="right" w:leader="dot" w:pos="9354"/>
          <w:tab w:val="clear" w:pos="9242"/>
        </w:tabs>
        <w:rPr>
          <w:b w:val="0"/>
          <w:bCs w:val="0"/>
        </w:rPr>
      </w:pPr>
      <w:r>
        <w:rPr>
          <w:rFonts w:hint="default" w:ascii="Times New Roman" w:hAnsi="Times New Roman" w:eastAsia="宋体" w:cs="Times New Roman"/>
          <w:b w:val="0"/>
          <w:bCs w:val="0"/>
          <w:szCs w:val="21"/>
          <w:highlight w:val="none"/>
        </w:rPr>
        <w:fldChar w:fldCharType="begin"/>
      </w:r>
      <w:r>
        <w:rPr>
          <w:rFonts w:hint="default" w:ascii="Times New Roman" w:hAnsi="Times New Roman" w:eastAsia="宋体" w:cs="Times New Roman"/>
          <w:b w:val="0"/>
          <w:bCs w:val="0"/>
          <w:szCs w:val="21"/>
          <w:highlight w:val="none"/>
        </w:rPr>
        <w:instrText xml:space="preserve"> HYPERLINK \l _Toc3325 </w:instrText>
      </w:r>
      <w:r>
        <w:rPr>
          <w:rFonts w:hint="default" w:ascii="Times New Roman" w:hAnsi="Times New Roman" w:eastAsia="宋体" w:cs="Times New Roman"/>
          <w:b w:val="0"/>
          <w:bCs w:val="0"/>
          <w:szCs w:val="21"/>
          <w:highlight w:val="none"/>
        </w:rPr>
        <w:fldChar w:fldCharType="separate"/>
      </w:r>
      <w:r>
        <w:rPr>
          <w:rFonts w:ascii="黑体" w:hAnsi="黑体" w:eastAsia="黑体"/>
          <w:b w:val="0"/>
          <w:bCs w:val="0"/>
          <w:szCs w:val="21"/>
        </w:rPr>
        <w:t xml:space="preserve">1 </w:t>
      </w:r>
      <w:r>
        <w:rPr>
          <w:rFonts w:ascii="黑体" w:hAnsi="黑体" w:eastAsia="黑体"/>
          <w:b w:val="0"/>
          <w:bCs w:val="0"/>
          <w:szCs w:val="21"/>
          <w:highlight w:val="none"/>
        </w:rPr>
        <w:t>范围</w:t>
      </w:r>
      <w:r>
        <w:rPr>
          <w:b w:val="0"/>
          <w:bCs w:val="0"/>
        </w:rPr>
        <w:tab/>
      </w:r>
      <w:r>
        <w:rPr>
          <w:b w:val="0"/>
          <w:bCs w:val="0"/>
        </w:rPr>
        <w:fldChar w:fldCharType="begin"/>
      </w:r>
      <w:r>
        <w:rPr>
          <w:b w:val="0"/>
          <w:bCs w:val="0"/>
        </w:rPr>
        <w:instrText xml:space="preserve"> PAGEREF _Toc3325 \h </w:instrText>
      </w:r>
      <w:r>
        <w:rPr>
          <w:b w:val="0"/>
          <w:bCs w:val="0"/>
        </w:rPr>
        <w:fldChar w:fldCharType="separate"/>
      </w:r>
      <w:r>
        <w:rPr>
          <w:b w:val="0"/>
          <w:bCs w:val="0"/>
        </w:rPr>
        <w:t>1</w:t>
      </w:r>
      <w:r>
        <w:rPr>
          <w:b w:val="0"/>
          <w:bCs w:val="0"/>
        </w:rPr>
        <w:fldChar w:fldCharType="end"/>
      </w:r>
      <w:r>
        <w:rPr>
          <w:rFonts w:hint="default" w:ascii="Times New Roman" w:hAnsi="Times New Roman" w:eastAsia="宋体" w:cs="Times New Roman"/>
          <w:b w:val="0"/>
          <w:bCs w:val="0"/>
          <w:szCs w:val="21"/>
          <w:highlight w:val="none"/>
        </w:rPr>
        <w:fldChar w:fldCharType="end"/>
      </w:r>
    </w:p>
    <w:p w14:paraId="1D2B15B6">
      <w:pPr>
        <w:pStyle w:val="23"/>
        <w:tabs>
          <w:tab w:val="right" w:leader="dot" w:pos="9354"/>
          <w:tab w:val="clear" w:pos="9242"/>
        </w:tabs>
        <w:rPr>
          <w:b w:val="0"/>
          <w:bCs w:val="0"/>
        </w:rPr>
      </w:pPr>
      <w:r>
        <w:rPr>
          <w:rFonts w:hint="default" w:ascii="Times New Roman" w:hAnsi="Times New Roman" w:eastAsia="宋体" w:cs="Times New Roman"/>
          <w:b w:val="0"/>
          <w:bCs w:val="0"/>
          <w:szCs w:val="21"/>
          <w:highlight w:val="none"/>
        </w:rPr>
        <w:fldChar w:fldCharType="begin"/>
      </w:r>
      <w:r>
        <w:rPr>
          <w:rFonts w:hint="default" w:ascii="Times New Roman" w:hAnsi="Times New Roman" w:eastAsia="宋体" w:cs="Times New Roman"/>
          <w:b w:val="0"/>
          <w:bCs w:val="0"/>
          <w:szCs w:val="21"/>
          <w:highlight w:val="none"/>
        </w:rPr>
        <w:instrText xml:space="preserve"> HYPERLINK \l _Toc6539 </w:instrText>
      </w:r>
      <w:r>
        <w:rPr>
          <w:rFonts w:hint="default" w:ascii="Times New Roman" w:hAnsi="Times New Roman" w:eastAsia="宋体" w:cs="Times New Roman"/>
          <w:b w:val="0"/>
          <w:bCs w:val="0"/>
          <w:szCs w:val="21"/>
          <w:highlight w:val="none"/>
        </w:rPr>
        <w:fldChar w:fldCharType="separate"/>
      </w:r>
      <w:r>
        <w:rPr>
          <w:rFonts w:ascii="黑体" w:hAnsi="黑体" w:eastAsia="黑体"/>
          <w:b w:val="0"/>
          <w:bCs w:val="0"/>
          <w:szCs w:val="21"/>
        </w:rPr>
        <w:t xml:space="preserve">2 </w:t>
      </w:r>
      <w:r>
        <w:rPr>
          <w:rFonts w:ascii="黑体" w:hAnsi="黑体" w:eastAsia="黑体"/>
          <w:b w:val="0"/>
          <w:bCs w:val="0"/>
          <w:szCs w:val="21"/>
          <w:highlight w:val="none"/>
        </w:rPr>
        <w:t>规范性引用文件</w:t>
      </w:r>
      <w:r>
        <w:rPr>
          <w:b w:val="0"/>
          <w:bCs w:val="0"/>
        </w:rPr>
        <w:tab/>
      </w:r>
      <w:r>
        <w:rPr>
          <w:b w:val="0"/>
          <w:bCs w:val="0"/>
        </w:rPr>
        <w:fldChar w:fldCharType="begin"/>
      </w:r>
      <w:r>
        <w:rPr>
          <w:b w:val="0"/>
          <w:bCs w:val="0"/>
        </w:rPr>
        <w:instrText xml:space="preserve"> PAGEREF _Toc6539 \h </w:instrText>
      </w:r>
      <w:r>
        <w:rPr>
          <w:b w:val="0"/>
          <w:bCs w:val="0"/>
        </w:rPr>
        <w:fldChar w:fldCharType="separate"/>
      </w:r>
      <w:r>
        <w:rPr>
          <w:b w:val="0"/>
          <w:bCs w:val="0"/>
        </w:rPr>
        <w:t>1</w:t>
      </w:r>
      <w:r>
        <w:rPr>
          <w:b w:val="0"/>
          <w:bCs w:val="0"/>
        </w:rPr>
        <w:fldChar w:fldCharType="end"/>
      </w:r>
      <w:r>
        <w:rPr>
          <w:rFonts w:hint="default" w:ascii="Times New Roman" w:hAnsi="Times New Roman" w:eastAsia="宋体" w:cs="Times New Roman"/>
          <w:b w:val="0"/>
          <w:bCs w:val="0"/>
          <w:szCs w:val="21"/>
          <w:highlight w:val="none"/>
        </w:rPr>
        <w:fldChar w:fldCharType="end"/>
      </w:r>
    </w:p>
    <w:p w14:paraId="53449BDD">
      <w:pPr>
        <w:pStyle w:val="23"/>
        <w:tabs>
          <w:tab w:val="right" w:leader="dot" w:pos="9354"/>
          <w:tab w:val="clear" w:pos="9242"/>
        </w:tabs>
        <w:rPr>
          <w:b w:val="0"/>
          <w:bCs w:val="0"/>
        </w:rPr>
      </w:pPr>
      <w:r>
        <w:rPr>
          <w:rFonts w:hint="default" w:ascii="Times New Roman" w:hAnsi="Times New Roman" w:eastAsia="宋体" w:cs="Times New Roman"/>
          <w:b w:val="0"/>
          <w:bCs w:val="0"/>
          <w:szCs w:val="21"/>
          <w:highlight w:val="none"/>
        </w:rPr>
        <w:fldChar w:fldCharType="begin"/>
      </w:r>
      <w:r>
        <w:rPr>
          <w:rFonts w:hint="default" w:ascii="Times New Roman" w:hAnsi="Times New Roman" w:eastAsia="宋体" w:cs="Times New Roman"/>
          <w:b w:val="0"/>
          <w:bCs w:val="0"/>
          <w:szCs w:val="21"/>
          <w:highlight w:val="none"/>
        </w:rPr>
        <w:instrText xml:space="preserve"> HYPERLINK \l _Toc26335 </w:instrText>
      </w:r>
      <w:r>
        <w:rPr>
          <w:rFonts w:hint="default" w:ascii="Times New Roman" w:hAnsi="Times New Roman" w:eastAsia="宋体" w:cs="Times New Roman"/>
          <w:b w:val="0"/>
          <w:bCs w:val="0"/>
          <w:szCs w:val="21"/>
          <w:highlight w:val="none"/>
        </w:rPr>
        <w:fldChar w:fldCharType="separate"/>
      </w:r>
      <w:r>
        <w:rPr>
          <w:rFonts w:ascii="黑体" w:hAnsi="黑体" w:eastAsia="黑体"/>
          <w:b w:val="0"/>
          <w:bCs w:val="0"/>
          <w:szCs w:val="21"/>
        </w:rPr>
        <w:t xml:space="preserve">3 </w:t>
      </w:r>
      <w:r>
        <w:rPr>
          <w:rFonts w:ascii="黑体" w:hAnsi="黑体" w:eastAsia="黑体"/>
          <w:b w:val="0"/>
          <w:bCs w:val="0"/>
          <w:szCs w:val="21"/>
          <w:highlight w:val="none"/>
        </w:rPr>
        <w:t>术语和定义</w:t>
      </w:r>
      <w:r>
        <w:rPr>
          <w:b w:val="0"/>
          <w:bCs w:val="0"/>
        </w:rPr>
        <w:tab/>
      </w:r>
      <w:r>
        <w:rPr>
          <w:b w:val="0"/>
          <w:bCs w:val="0"/>
        </w:rPr>
        <w:fldChar w:fldCharType="begin"/>
      </w:r>
      <w:r>
        <w:rPr>
          <w:b w:val="0"/>
          <w:bCs w:val="0"/>
        </w:rPr>
        <w:instrText xml:space="preserve"> PAGEREF _Toc26335 \h </w:instrText>
      </w:r>
      <w:r>
        <w:rPr>
          <w:b w:val="0"/>
          <w:bCs w:val="0"/>
        </w:rPr>
        <w:fldChar w:fldCharType="separate"/>
      </w:r>
      <w:r>
        <w:rPr>
          <w:b w:val="0"/>
          <w:bCs w:val="0"/>
        </w:rPr>
        <w:t>1</w:t>
      </w:r>
      <w:r>
        <w:rPr>
          <w:b w:val="0"/>
          <w:bCs w:val="0"/>
        </w:rPr>
        <w:fldChar w:fldCharType="end"/>
      </w:r>
      <w:r>
        <w:rPr>
          <w:rFonts w:hint="default" w:ascii="Times New Roman" w:hAnsi="Times New Roman" w:eastAsia="宋体" w:cs="Times New Roman"/>
          <w:b w:val="0"/>
          <w:bCs w:val="0"/>
          <w:szCs w:val="21"/>
          <w:highlight w:val="none"/>
        </w:rPr>
        <w:fldChar w:fldCharType="end"/>
      </w:r>
    </w:p>
    <w:p w14:paraId="10E20F8C">
      <w:pPr>
        <w:pStyle w:val="23"/>
        <w:tabs>
          <w:tab w:val="right" w:leader="dot" w:pos="9354"/>
          <w:tab w:val="clear" w:pos="9242"/>
        </w:tabs>
        <w:rPr>
          <w:b w:val="0"/>
          <w:bCs w:val="0"/>
        </w:rPr>
      </w:pPr>
      <w:r>
        <w:rPr>
          <w:rFonts w:hint="default" w:ascii="Times New Roman" w:hAnsi="Times New Roman" w:eastAsia="宋体" w:cs="Times New Roman"/>
          <w:b w:val="0"/>
          <w:bCs w:val="0"/>
          <w:szCs w:val="21"/>
          <w:highlight w:val="none"/>
        </w:rPr>
        <w:fldChar w:fldCharType="begin"/>
      </w:r>
      <w:r>
        <w:rPr>
          <w:rFonts w:hint="default" w:ascii="Times New Roman" w:hAnsi="Times New Roman" w:eastAsia="宋体" w:cs="Times New Roman"/>
          <w:b w:val="0"/>
          <w:bCs w:val="0"/>
          <w:szCs w:val="21"/>
          <w:highlight w:val="none"/>
        </w:rPr>
        <w:instrText xml:space="preserve"> HYPERLINK \l _Toc14359 </w:instrText>
      </w:r>
      <w:r>
        <w:rPr>
          <w:rFonts w:hint="default" w:ascii="Times New Roman" w:hAnsi="Times New Roman" w:eastAsia="宋体" w:cs="Times New Roman"/>
          <w:b w:val="0"/>
          <w:bCs w:val="0"/>
          <w:szCs w:val="21"/>
          <w:highlight w:val="none"/>
        </w:rPr>
        <w:fldChar w:fldCharType="separate"/>
      </w:r>
      <w:r>
        <w:rPr>
          <w:rFonts w:ascii="黑体" w:hAnsi="黑体" w:eastAsia="黑体"/>
          <w:b w:val="0"/>
          <w:bCs w:val="0"/>
          <w:szCs w:val="21"/>
        </w:rPr>
        <w:t xml:space="preserve">4 </w:t>
      </w:r>
      <w:r>
        <w:rPr>
          <w:rFonts w:ascii="黑体" w:hAnsi="黑体" w:eastAsia="黑体"/>
          <w:b w:val="0"/>
          <w:bCs w:val="0"/>
          <w:szCs w:val="21"/>
          <w:highlight w:val="none"/>
        </w:rPr>
        <w:t>量化目的</w:t>
      </w:r>
      <w:r>
        <w:rPr>
          <w:b w:val="0"/>
          <w:bCs w:val="0"/>
        </w:rPr>
        <w:tab/>
      </w:r>
      <w:r>
        <w:rPr>
          <w:b w:val="0"/>
          <w:bCs w:val="0"/>
        </w:rPr>
        <w:fldChar w:fldCharType="begin"/>
      </w:r>
      <w:r>
        <w:rPr>
          <w:b w:val="0"/>
          <w:bCs w:val="0"/>
        </w:rPr>
        <w:instrText xml:space="preserve"> PAGEREF _Toc14359 \h </w:instrText>
      </w:r>
      <w:r>
        <w:rPr>
          <w:b w:val="0"/>
          <w:bCs w:val="0"/>
        </w:rPr>
        <w:fldChar w:fldCharType="separate"/>
      </w:r>
      <w:r>
        <w:rPr>
          <w:b w:val="0"/>
          <w:bCs w:val="0"/>
        </w:rPr>
        <w:t>3</w:t>
      </w:r>
      <w:r>
        <w:rPr>
          <w:b w:val="0"/>
          <w:bCs w:val="0"/>
        </w:rPr>
        <w:fldChar w:fldCharType="end"/>
      </w:r>
      <w:r>
        <w:rPr>
          <w:rFonts w:hint="default" w:ascii="Times New Roman" w:hAnsi="Times New Roman" w:eastAsia="宋体" w:cs="Times New Roman"/>
          <w:b w:val="0"/>
          <w:bCs w:val="0"/>
          <w:szCs w:val="21"/>
          <w:highlight w:val="none"/>
        </w:rPr>
        <w:fldChar w:fldCharType="end"/>
      </w:r>
    </w:p>
    <w:p w14:paraId="6FA885EC">
      <w:pPr>
        <w:pStyle w:val="23"/>
        <w:tabs>
          <w:tab w:val="right" w:leader="dot" w:pos="9354"/>
          <w:tab w:val="clear" w:pos="9242"/>
        </w:tabs>
        <w:rPr>
          <w:b w:val="0"/>
          <w:bCs w:val="0"/>
        </w:rPr>
      </w:pPr>
      <w:r>
        <w:rPr>
          <w:rFonts w:hint="default" w:ascii="Times New Roman" w:hAnsi="Times New Roman" w:eastAsia="宋体" w:cs="Times New Roman"/>
          <w:b w:val="0"/>
          <w:bCs w:val="0"/>
          <w:szCs w:val="21"/>
          <w:highlight w:val="none"/>
        </w:rPr>
        <w:fldChar w:fldCharType="begin"/>
      </w:r>
      <w:r>
        <w:rPr>
          <w:rFonts w:hint="default" w:ascii="Times New Roman" w:hAnsi="Times New Roman" w:eastAsia="宋体" w:cs="Times New Roman"/>
          <w:b w:val="0"/>
          <w:bCs w:val="0"/>
          <w:szCs w:val="21"/>
          <w:highlight w:val="none"/>
        </w:rPr>
        <w:instrText xml:space="preserve"> HYPERLINK \l _Toc8774 </w:instrText>
      </w:r>
      <w:r>
        <w:rPr>
          <w:rFonts w:hint="default" w:ascii="Times New Roman" w:hAnsi="Times New Roman" w:eastAsia="宋体" w:cs="Times New Roman"/>
          <w:b w:val="0"/>
          <w:bCs w:val="0"/>
          <w:szCs w:val="21"/>
          <w:highlight w:val="none"/>
        </w:rPr>
        <w:fldChar w:fldCharType="separate"/>
      </w:r>
      <w:r>
        <w:rPr>
          <w:rFonts w:ascii="黑体" w:hAnsi="黑体" w:eastAsia="黑体"/>
          <w:b w:val="0"/>
          <w:bCs w:val="0"/>
          <w:szCs w:val="21"/>
        </w:rPr>
        <w:t xml:space="preserve">5 </w:t>
      </w:r>
      <w:r>
        <w:rPr>
          <w:rFonts w:ascii="黑体" w:hAnsi="黑体" w:eastAsia="黑体"/>
          <w:b w:val="0"/>
          <w:bCs w:val="0"/>
          <w:szCs w:val="21"/>
          <w:highlight w:val="none"/>
        </w:rPr>
        <w:t>量化范围</w:t>
      </w:r>
      <w:r>
        <w:rPr>
          <w:b w:val="0"/>
          <w:bCs w:val="0"/>
        </w:rPr>
        <w:tab/>
      </w:r>
      <w:r>
        <w:rPr>
          <w:b w:val="0"/>
          <w:bCs w:val="0"/>
        </w:rPr>
        <w:fldChar w:fldCharType="begin"/>
      </w:r>
      <w:r>
        <w:rPr>
          <w:b w:val="0"/>
          <w:bCs w:val="0"/>
        </w:rPr>
        <w:instrText xml:space="preserve"> PAGEREF _Toc8774 \h </w:instrText>
      </w:r>
      <w:r>
        <w:rPr>
          <w:b w:val="0"/>
          <w:bCs w:val="0"/>
        </w:rPr>
        <w:fldChar w:fldCharType="separate"/>
      </w:r>
      <w:r>
        <w:rPr>
          <w:b w:val="0"/>
          <w:bCs w:val="0"/>
        </w:rPr>
        <w:t>4</w:t>
      </w:r>
      <w:r>
        <w:rPr>
          <w:b w:val="0"/>
          <w:bCs w:val="0"/>
        </w:rPr>
        <w:fldChar w:fldCharType="end"/>
      </w:r>
      <w:r>
        <w:rPr>
          <w:rFonts w:hint="default" w:ascii="Times New Roman" w:hAnsi="Times New Roman" w:eastAsia="宋体" w:cs="Times New Roman"/>
          <w:b w:val="0"/>
          <w:bCs w:val="0"/>
          <w:szCs w:val="21"/>
          <w:highlight w:val="none"/>
        </w:rPr>
        <w:fldChar w:fldCharType="end"/>
      </w:r>
    </w:p>
    <w:p w14:paraId="70D00233">
      <w:pPr>
        <w:pStyle w:val="23"/>
        <w:tabs>
          <w:tab w:val="right" w:leader="dot" w:pos="9354"/>
          <w:tab w:val="clear" w:pos="9242"/>
        </w:tabs>
        <w:rPr>
          <w:b w:val="0"/>
          <w:bCs w:val="0"/>
        </w:rPr>
      </w:pPr>
      <w:r>
        <w:rPr>
          <w:rFonts w:hint="default" w:ascii="Times New Roman" w:hAnsi="Times New Roman" w:eastAsia="宋体" w:cs="Times New Roman"/>
          <w:b w:val="0"/>
          <w:bCs w:val="0"/>
          <w:szCs w:val="21"/>
          <w:highlight w:val="none"/>
        </w:rPr>
        <w:fldChar w:fldCharType="begin"/>
      </w:r>
      <w:r>
        <w:rPr>
          <w:rFonts w:hint="default" w:ascii="Times New Roman" w:hAnsi="Times New Roman" w:eastAsia="宋体" w:cs="Times New Roman"/>
          <w:b w:val="0"/>
          <w:bCs w:val="0"/>
          <w:szCs w:val="21"/>
          <w:highlight w:val="none"/>
        </w:rPr>
        <w:instrText xml:space="preserve"> HYPERLINK \l _Toc28136 </w:instrText>
      </w:r>
      <w:r>
        <w:rPr>
          <w:rFonts w:hint="default" w:ascii="Times New Roman" w:hAnsi="Times New Roman" w:eastAsia="宋体" w:cs="Times New Roman"/>
          <w:b w:val="0"/>
          <w:bCs w:val="0"/>
          <w:szCs w:val="21"/>
          <w:highlight w:val="none"/>
        </w:rPr>
        <w:fldChar w:fldCharType="separate"/>
      </w:r>
      <w:r>
        <w:rPr>
          <w:rFonts w:hint="eastAsia" w:ascii="黑体" w:hAnsi="黑体" w:eastAsia="黑体"/>
          <w:b w:val="0"/>
          <w:bCs w:val="0"/>
          <w:szCs w:val="21"/>
        </w:rPr>
        <w:t>6 清单分析</w:t>
      </w:r>
      <w:r>
        <w:rPr>
          <w:b w:val="0"/>
          <w:bCs w:val="0"/>
        </w:rPr>
        <w:tab/>
      </w:r>
      <w:r>
        <w:rPr>
          <w:b w:val="0"/>
          <w:bCs w:val="0"/>
        </w:rPr>
        <w:fldChar w:fldCharType="begin"/>
      </w:r>
      <w:r>
        <w:rPr>
          <w:b w:val="0"/>
          <w:bCs w:val="0"/>
        </w:rPr>
        <w:instrText xml:space="preserve"> PAGEREF _Toc28136 \h </w:instrText>
      </w:r>
      <w:r>
        <w:rPr>
          <w:b w:val="0"/>
          <w:bCs w:val="0"/>
        </w:rPr>
        <w:fldChar w:fldCharType="separate"/>
      </w:r>
      <w:r>
        <w:rPr>
          <w:b w:val="0"/>
          <w:bCs w:val="0"/>
        </w:rPr>
        <w:t>6</w:t>
      </w:r>
      <w:r>
        <w:rPr>
          <w:b w:val="0"/>
          <w:bCs w:val="0"/>
        </w:rPr>
        <w:fldChar w:fldCharType="end"/>
      </w:r>
      <w:r>
        <w:rPr>
          <w:rFonts w:hint="default" w:ascii="Times New Roman" w:hAnsi="Times New Roman" w:eastAsia="宋体" w:cs="Times New Roman"/>
          <w:b w:val="0"/>
          <w:bCs w:val="0"/>
          <w:szCs w:val="21"/>
          <w:highlight w:val="none"/>
        </w:rPr>
        <w:fldChar w:fldCharType="end"/>
      </w:r>
    </w:p>
    <w:p w14:paraId="222AE493">
      <w:pPr>
        <w:pStyle w:val="23"/>
        <w:tabs>
          <w:tab w:val="right" w:leader="dot" w:pos="9354"/>
          <w:tab w:val="clear" w:pos="9242"/>
        </w:tabs>
        <w:rPr>
          <w:b w:val="0"/>
          <w:bCs w:val="0"/>
        </w:rPr>
      </w:pPr>
      <w:r>
        <w:rPr>
          <w:rFonts w:hint="default" w:ascii="Times New Roman" w:hAnsi="Times New Roman" w:eastAsia="宋体" w:cs="Times New Roman"/>
          <w:b w:val="0"/>
          <w:bCs w:val="0"/>
          <w:szCs w:val="21"/>
          <w:highlight w:val="none"/>
        </w:rPr>
        <w:fldChar w:fldCharType="begin"/>
      </w:r>
      <w:r>
        <w:rPr>
          <w:rFonts w:hint="default" w:ascii="Times New Roman" w:hAnsi="Times New Roman" w:eastAsia="宋体" w:cs="Times New Roman"/>
          <w:b w:val="0"/>
          <w:bCs w:val="0"/>
          <w:szCs w:val="21"/>
          <w:highlight w:val="none"/>
        </w:rPr>
        <w:instrText xml:space="preserve"> HYPERLINK \l _Toc16736 </w:instrText>
      </w:r>
      <w:r>
        <w:rPr>
          <w:rFonts w:hint="default" w:ascii="Times New Roman" w:hAnsi="Times New Roman" w:eastAsia="宋体" w:cs="Times New Roman"/>
          <w:b w:val="0"/>
          <w:bCs w:val="0"/>
          <w:szCs w:val="21"/>
          <w:highlight w:val="none"/>
        </w:rPr>
        <w:fldChar w:fldCharType="separate"/>
      </w:r>
      <w:r>
        <w:rPr>
          <w:rFonts w:hint="eastAsia" w:ascii="黑体" w:hAnsi="黑体" w:eastAsia="黑体"/>
          <w:b w:val="0"/>
          <w:bCs w:val="0"/>
          <w:szCs w:val="21"/>
        </w:rPr>
        <w:t>7 影响评价</w:t>
      </w:r>
      <w:r>
        <w:rPr>
          <w:b w:val="0"/>
          <w:bCs w:val="0"/>
        </w:rPr>
        <w:tab/>
      </w:r>
      <w:r>
        <w:rPr>
          <w:b w:val="0"/>
          <w:bCs w:val="0"/>
        </w:rPr>
        <w:fldChar w:fldCharType="begin"/>
      </w:r>
      <w:r>
        <w:rPr>
          <w:b w:val="0"/>
          <w:bCs w:val="0"/>
        </w:rPr>
        <w:instrText xml:space="preserve"> PAGEREF _Toc16736 \h </w:instrText>
      </w:r>
      <w:r>
        <w:rPr>
          <w:b w:val="0"/>
          <w:bCs w:val="0"/>
        </w:rPr>
        <w:fldChar w:fldCharType="separate"/>
      </w:r>
      <w:r>
        <w:rPr>
          <w:b w:val="0"/>
          <w:bCs w:val="0"/>
        </w:rPr>
        <w:t>7</w:t>
      </w:r>
      <w:r>
        <w:rPr>
          <w:b w:val="0"/>
          <w:bCs w:val="0"/>
        </w:rPr>
        <w:fldChar w:fldCharType="end"/>
      </w:r>
      <w:r>
        <w:rPr>
          <w:rFonts w:hint="default" w:ascii="Times New Roman" w:hAnsi="Times New Roman" w:eastAsia="宋体" w:cs="Times New Roman"/>
          <w:b w:val="0"/>
          <w:bCs w:val="0"/>
          <w:szCs w:val="21"/>
          <w:highlight w:val="none"/>
        </w:rPr>
        <w:fldChar w:fldCharType="end"/>
      </w:r>
    </w:p>
    <w:p w14:paraId="4AB0D66A">
      <w:pPr>
        <w:pStyle w:val="23"/>
        <w:tabs>
          <w:tab w:val="right" w:leader="dot" w:pos="9354"/>
          <w:tab w:val="clear" w:pos="9242"/>
        </w:tabs>
        <w:rPr>
          <w:b w:val="0"/>
          <w:bCs w:val="0"/>
        </w:rPr>
      </w:pPr>
      <w:r>
        <w:rPr>
          <w:rFonts w:hint="default" w:ascii="Times New Roman" w:hAnsi="Times New Roman" w:eastAsia="宋体" w:cs="Times New Roman"/>
          <w:b w:val="0"/>
          <w:bCs w:val="0"/>
          <w:szCs w:val="21"/>
          <w:highlight w:val="none"/>
        </w:rPr>
        <w:fldChar w:fldCharType="begin"/>
      </w:r>
      <w:r>
        <w:rPr>
          <w:rFonts w:hint="default" w:ascii="Times New Roman" w:hAnsi="Times New Roman" w:eastAsia="宋体" w:cs="Times New Roman"/>
          <w:b w:val="0"/>
          <w:bCs w:val="0"/>
          <w:szCs w:val="21"/>
          <w:highlight w:val="none"/>
        </w:rPr>
        <w:instrText xml:space="preserve"> HYPERLINK \l _Toc25868 </w:instrText>
      </w:r>
      <w:r>
        <w:rPr>
          <w:rFonts w:hint="default" w:ascii="Times New Roman" w:hAnsi="Times New Roman" w:eastAsia="宋体" w:cs="Times New Roman"/>
          <w:b w:val="0"/>
          <w:bCs w:val="0"/>
          <w:szCs w:val="21"/>
          <w:highlight w:val="none"/>
        </w:rPr>
        <w:fldChar w:fldCharType="separate"/>
      </w:r>
      <w:r>
        <w:rPr>
          <w:rFonts w:ascii="黑体" w:hAnsi="黑体" w:eastAsia="黑体"/>
          <w:b w:val="0"/>
          <w:bCs w:val="0"/>
          <w:szCs w:val="21"/>
        </w:rPr>
        <w:t>8 结果解释</w:t>
      </w:r>
      <w:r>
        <w:rPr>
          <w:b w:val="0"/>
          <w:bCs w:val="0"/>
        </w:rPr>
        <w:tab/>
      </w:r>
      <w:r>
        <w:rPr>
          <w:b w:val="0"/>
          <w:bCs w:val="0"/>
        </w:rPr>
        <w:fldChar w:fldCharType="begin"/>
      </w:r>
      <w:r>
        <w:rPr>
          <w:b w:val="0"/>
          <w:bCs w:val="0"/>
        </w:rPr>
        <w:instrText xml:space="preserve"> PAGEREF _Toc25868 \h </w:instrText>
      </w:r>
      <w:r>
        <w:rPr>
          <w:b w:val="0"/>
          <w:bCs w:val="0"/>
        </w:rPr>
        <w:fldChar w:fldCharType="separate"/>
      </w:r>
      <w:r>
        <w:rPr>
          <w:b w:val="0"/>
          <w:bCs w:val="0"/>
        </w:rPr>
        <w:t>10</w:t>
      </w:r>
      <w:r>
        <w:rPr>
          <w:b w:val="0"/>
          <w:bCs w:val="0"/>
        </w:rPr>
        <w:fldChar w:fldCharType="end"/>
      </w:r>
      <w:r>
        <w:rPr>
          <w:rFonts w:hint="default" w:ascii="Times New Roman" w:hAnsi="Times New Roman" w:eastAsia="宋体" w:cs="Times New Roman"/>
          <w:b w:val="0"/>
          <w:bCs w:val="0"/>
          <w:szCs w:val="21"/>
          <w:highlight w:val="none"/>
        </w:rPr>
        <w:fldChar w:fldCharType="end"/>
      </w:r>
    </w:p>
    <w:p w14:paraId="528933A2">
      <w:pPr>
        <w:pStyle w:val="23"/>
        <w:tabs>
          <w:tab w:val="right" w:leader="dot" w:pos="9354"/>
          <w:tab w:val="clear" w:pos="9242"/>
        </w:tabs>
        <w:rPr>
          <w:b w:val="0"/>
          <w:bCs w:val="0"/>
        </w:rPr>
      </w:pPr>
      <w:r>
        <w:rPr>
          <w:rFonts w:hint="default" w:ascii="Times New Roman" w:hAnsi="Times New Roman" w:eastAsia="宋体" w:cs="Times New Roman"/>
          <w:b w:val="0"/>
          <w:bCs w:val="0"/>
          <w:szCs w:val="21"/>
          <w:highlight w:val="none"/>
        </w:rPr>
        <w:fldChar w:fldCharType="begin"/>
      </w:r>
      <w:r>
        <w:rPr>
          <w:rFonts w:hint="default" w:ascii="Times New Roman" w:hAnsi="Times New Roman" w:eastAsia="宋体" w:cs="Times New Roman"/>
          <w:b w:val="0"/>
          <w:bCs w:val="0"/>
          <w:szCs w:val="21"/>
          <w:highlight w:val="none"/>
        </w:rPr>
        <w:instrText xml:space="preserve"> HYPERLINK \l _Toc7229 </w:instrText>
      </w:r>
      <w:r>
        <w:rPr>
          <w:rFonts w:hint="default" w:ascii="Times New Roman" w:hAnsi="Times New Roman" w:eastAsia="宋体" w:cs="Times New Roman"/>
          <w:b w:val="0"/>
          <w:bCs w:val="0"/>
          <w:szCs w:val="21"/>
          <w:highlight w:val="none"/>
        </w:rPr>
        <w:fldChar w:fldCharType="separate"/>
      </w:r>
      <w:r>
        <w:rPr>
          <w:rFonts w:ascii="黑体" w:hAnsi="黑体" w:eastAsia="黑体"/>
          <w:b w:val="0"/>
          <w:bCs w:val="0"/>
          <w:szCs w:val="21"/>
        </w:rPr>
        <w:t>9 鉴定性评审</w:t>
      </w:r>
      <w:r>
        <w:rPr>
          <w:b w:val="0"/>
          <w:bCs w:val="0"/>
        </w:rPr>
        <w:tab/>
      </w:r>
      <w:r>
        <w:rPr>
          <w:b w:val="0"/>
          <w:bCs w:val="0"/>
        </w:rPr>
        <w:fldChar w:fldCharType="begin"/>
      </w:r>
      <w:r>
        <w:rPr>
          <w:b w:val="0"/>
          <w:bCs w:val="0"/>
        </w:rPr>
        <w:instrText xml:space="preserve"> PAGEREF _Toc7229 \h </w:instrText>
      </w:r>
      <w:r>
        <w:rPr>
          <w:b w:val="0"/>
          <w:bCs w:val="0"/>
        </w:rPr>
        <w:fldChar w:fldCharType="separate"/>
      </w:r>
      <w:r>
        <w:rPr>
          <w:b w:val="0"/>
          <w:bCs w:val="0"/>
        </w:rPr>
        <w:t>10</w:t>
      </w:r>
      <w:r>
        <w:rPr>
          <w:b w:val="0"/>
          <w:bCs w:val="0"/>
        </w:rPr>
        <w:fldChar w:fldCharType="end"/>
      </w:r>
      <w:r>
        <w:rPr>
          <w:rFonts w:hint="default" w:ascii="Times New Roman" w:hAnsi="Times New Roman" w:eastAsia="宋体" w:cs="Times New Roman"/>
          <w:b w:val="0"/>
          <w:bCs w:val="0"/>
          <w:szCs w:val="21"/>
          <w:highlight w:val="none"/>
        </w:rPr>
        <w:fldChar w:fldCharType="end"/>
      </w:r>
    </w:p>
    <w:p w14:paraId="519EB53E">
      <w:pPr>
        <w:pStyle w:val="23"/>
        <w:tabs>
          <w:tab w:val="right" w:leader="dot" w:pos="9354"/>
          <w:tab w:val="clear" w:pos="9242"/>
        </w:tabs>
        <w:rPr>
          <w:b w:val="0"/>
          <w:bCs w:val="0"/>
        </w:rPr>
      </w:pPr>
      <w:r>
        <w:rPr>
          <w:rFonts w:hint="default" w:ascii="Times New Roman" w:hAnsi="Times New Roman" w:eastAsia="宋体" w:cs="Times New Roman"/>
          <w:b w:val="0"/>
          <w:bCs w:val="0"/>
          <w:szCs w:val="21"/>
          <w:highlight w:val="none"/>
        </w:rPr>
        <w:fldChar w:fldCharType="begin"/>
      </w:r>
      <w:r>
        <w:rPr>
          <w:rFonts w:hint="default" w:ascii="Times New Roman" w:hAnsi="Times New Roman" w:eastAsia="宋体" w:cs="Times New Roman"/>
          <w:b w:val="0"/>
          <w:bCs w:val="0"/>
          <w:szCs w:val="21"/>
          <w:highlight w:val="none"/>
        </w:rPr>
        <w:instrText xml:space="preserve"> HYPERLINK \l _Toc23232 </w:instrText>
      </w:r>
      <w:r>
        <w:rPr>
          <w:rFonts w:hint="default" w:ascii="Times New Roman" w:hAnsi="Times New Roman" w:eastAsia="宋体" w:cs="Times New Roman"/>
          <w:b w:val="0"/>
          <w:bCs w:val="0"/>
          <w:szCs w:val="21"/>
          <w:highlight w:val="none"/>
        </w:rPr>
        <w:fldChar w:fldCharType="separate"/>
      </w:r>
      <w:r>
        <w:rPr>
          <w:rFonts w:ascii="黑体" w:hAnsi="黑体" w:eastAsia="黑体"/>
          <w:b w:val="0"/>
          <w:bCs w:val="0"/>
          <w:kern w:val="0"/>
          <w:szCs w:val="21"/>
        </w:rPr>
        <w:t xml:space="preserve">10 </w:t>
      </w:r>
      <w:r>
        <w:rPr>
          <w:rFonts w:hint="default" w:ascii="黑体" w:hAnsi="黑体" w:eastAsia="黑体"/>
          <w:b w:val="0"/>
          <w:bCs w:val="0"/>
          <w:kern w:val="0"/>
          <w:szCs w:val="21"/>
          <w:lang w:val="en-US" w:eastAsia="zh-CN"/>
        </w:rPr>
        <w:t>可比性</w:t>
      </w:r>
      <w:r>
        <w:rPr>
          <w:b w:val="0"/>
          <w:bCs w:val="0"/>
        </w:rPr>
        <w:tab/>
      </w:r>
      <w:r>
        <w:rPr>
          <w:b w:val="0"/>
          <w:bCs w:val="0"/>
        </w:rPr>
        <w:fldChar w:fldCharType="begin"/>
      </w:r>
      <w:r>
        <w:rPr>
          <w:b w:val="0"/>
          <w:bCs w:val="0"/>
        </w:rPr>
        <w:instrText xml:space="preserve"> PAGEREF _Toc23232 \h </w:instrText>
      </w:r>
      <w:r>
        <w:rPr>
          <w:b w:val="0"/>
          <w:bCs w:val="0"/>
        </w:rPr>
        <w:fldChar w:fldCharType="separate"/>
      </w:r>
      <w:r>
        <w:rPr>
          <w:b w:val="0"/>
          <w:bCs w:val="0"/>
        </w:rPr>
        <w:t>10</w:t>
      </w:r>
      <w:r>
        <w:rPr>
          <w:b w:val="0"/>
          <w:bCs w:val="0"/>
        </w:rPr>
        <w:fldChar w:fldCharType="end"/>
      </w:r>
      <w:r>
        <w:rPr>
          <w:rFonts w:hint="default" w:ascii="Times New Roman" w:hAnsi="Times New Roman" w:eastAsia="宋体" w:cs="Times New Roman"/>
          <w:b w:val="0"/>
          <w:bCs w:val="0"/>
          <w:szCs w:val="21"/>
          <w:highlight w:val="none"/>
        </w:rPr>
        <w:fldChar w:fldCharType="end"/>
      </w:r>
    </w:p>
    <w:p w14:paraId="27533A0F">
      <w:pPr>
        <w:pStyle w:val="23"/>
        <w:tabs>
          <w:tab w:val="right" w:leader="dot" w:pos="9354"/>
          <w:tab w:val="clear" w:pos="9242"/>
        </w:tabs>
        <w:rPr>
          <w:b w:val="0"/>
          <w:bCs w:val="0"/>
        </w:rPr>
      </w:pPr>
      <w:r>
        <w:rPr>
          <w:rFonts w:hint="default" w:ascii="Times New Roman" w:hAnsi="Times New Roman" w:eastAsia="宋体" w:cs="Times New Roman"/>
          <w:b w:val="0"/>
          <w:bCs w:val="0"/>
          <w:szCs w:val="21"/>
          <w:highlight w:val="none"/>
        </w:rPr>
        <w:fldChar w:fldCharType="begin"/>
      </w:r>
      <w:r>
        <w:rPr>
          <w:rFonts w:hint="default" w:ascii="Times New Roman" w:hAnsi="Times New Roman" w:eastAsia="宋体" w:cs="Times New Roman"/>
          <w:b w:val="0"/>
          <w:bCs w:val="0"/>
          <w:szCs w:val="21"/>
          <w:highlight w:val="none"/>
        </w:rPr>
        <w:instrText xml:space="preserve"> HYPERLINK \l _Toc21216 </w:instrText>
      </w:r>
      <w:r>
        <w:rPr>
          <w:rFonts w:hint="default" w:ascii="Times New Roman" w:hAnsi="Times New Roman" w:eastAsia="宋体" w:cs="Times New Roman"/>
          <w:b w:val="0"/>
          <w:bCs w:val="0"/>
          <w:szCs w:val="21"/>
          <w:highlight w:val="none"/>
        </w:rPr>
        <w:fldChar w:fldCharType="separate"/>
      </w:r>
      <w:r>
        <w:rPr>
          <w:rFonts w:ascii="黑体" w:hAnsi="黑体" w:eastAsia="黑体"/>
          <w:b w:val="0"/>
          <w:bCs w:val="0"/>
          <w:szCs w:val="21"/>
        </w:rPr>
        <w:t>11 产品碳足迹绩效追踪</w:t>
      </w:r>
      <w:r>
        <w:rPr>
          <w:b w:val="0"/>
          <w:bCs w:val="0"/>
        </w:rPr>
        <w:tab/>
      </w:r>
      <w:r>
        <w:rPr>
          <w:b w:val="0"/>
          <w:bCs w:val="0"/>
        </w:rPr>
        <w:fldChar w:fldCharType="begin"/>
      </w:r>
      <w:r>
        <w:rPr>
          <w:b w:val="0"/>
          <w:bCs w:val="0"/>
        </w:rPr>
        <w:instrText xml:space="preserve"> PAGEREF _Toc21216 \h </w:instrText>
      </w:r>
      <w:r>
        <w:rPr>
          <w:b w:val="0"/>
          <w:bCs w:val="0"/>
        </w:rPr>
        <w:fldChar w:fldCharType="separate"/>
      </w:r>
      <w:r>
        <w:rPr>
          <w:b w:val="0"/>
          <w:bCs w:val="0"/>
        </w:rPr>
        <w:t>10</w:t>
      </w:r>
      <w:r>
        <w:rPr>
          <w:b w:val="0"/>
          <w:bCs w:val="0"/>
        </w:rPr>
        <w:fldChar w:fldCharType="end"/>
      </w:r>
      <w:r>
        <w:rPr>
          <w:rFonts w:hint="default" w:ascii="Times New Roman" w:hAnsi="Times New Roman" w:eastAsia="宋体" w:cs="Times New Roman"/>
          <w:b w:val="0"/>
          <w:bCs w:val="0"/>
          <w:szCs w:val="21"/>
          <w:highlight w:val="none"/>
        </w:rPr>
        <w:fldChar w:fldCharType="end"/>
      </w:r>
    </w:p>
    <w:p w14:paraId="507D244D">
      <w:pPr>
        <w:pStyle w:val="23"/>
        <w:tabs>
          <w:tab w:val="right" w:leader="dot" w:pos="9354"/>
          <w:tab w:val="clear" w:pos="9242"/>
        </w:tabs>
        <w:rPr>
          <w:b w:val="0"/>
          <w:bCs w:val="0"/>
        </w:rPr>
      </w:pPr>
      <w:r>
        <w:rPr>
          <w:rFonts w:hint="default" w:ascii="Times New Roman" w:hAnsi="Times New Roman" w:eastAsia="宋体" w:cs="Times New Roman"/>
          <w:b w:val="0"/>
          <w:bCs w:val="0"/>
          <w:szCs w:val="21"/>
          <w:highlight w:val="none"/>
        </w:rPr>
        <w:fldChar w:fldCharType="begin"/>
      </w:r>
      <w:r>
        <w:rPr>
          <w:rFonts w:hint="default" w:ascii="Times New Roman" w:hAnsi="Times New Roman" w:eastAsia="宋体" w:cs="Times New Roman"/>
          <w:b w:val="0"/>
          <w:bCs w:val="0"/>
          <w:szCs w:val="21"/>
          <w:highlight w:val="none"/>
        </w:rPr>
        <w:instrText xml:space="preserve"> HYPERLINK \l _Toc28593 </w:instrText>
      </w:r>
      <w:r>
        <w:rPr>
          <w:rFonts w:hint="default" w:ascii="Times New Roman" w:hAnsi="Times New Roman" w:eastAsia="宋体" w:cs="Times New Roman"/>
          <w:b w:val="0"/>
          <w:bCs w:val="0"/>
          <w:szCs w:val="21"/>
          <w:highlight w:val="none"/>
        </w:rPr>
        <w:fldChar w:fldCharType="separate"/>
      </w:r>
      <w:r>
        <w:rPr>
          <w:rFonts w:ascii="黑体" w:hAnsi="黑体" w:eastAsia="黑体"/>
          <w:b w:val="0"/>
          <w:bCs w:val="0"/>
          <w:szCs w:val="21"/>
        </w:rPr>
        <w:t>12 产品碳足迹报告</w:t>
      </w:r>
      <w:r>
        <w:rPr>
          <w:b w:val="0"/>
          <w:bCs w:val="0"/>
        </w:rPr>
        <w:tab/>
      </w:r>
      <w:r>
        <w:rPr>
          <w:b w:val="0"/>
          <w:bCs w:val="0"/>
        </w:rPr>
        <w:fldChar w:fldCharType="begin"/>
      </w:r>
      <w:r>
        <w:rPr>
          <w:b w:val="0"/>
          <w:bCs w:val="0"/>
        </w:rPr>
        <w:instrText xml:space="preserve"> PAGEREF _Toc28593 \h </w:instrText>
      </w:r>
      <w:r>
        <w:rPr>
          <w:b w:val="0"/>
          <w:bCs w:val="0"/>
        </w:rPr>
        <w:fldChar w:fldCharType="separate"/>
      </w:r>
      <w:r>
        <w:rPr>
          <w:b w:val="0"/>
          <w:bCs w:val="0"/>
        </w:rPr>
        <w:t>11</w:t>
      </w:r>
      <w:r>
        <w:rPr>
          <w:b w:val="0"/>
          <w:bCs w:val="0"/>
        </w:rPr>
        <w:fldChar w:fldCharType="end"/>
      </w:r>
      <w:r>
        <w:rPr>
          <w:rFonts w:hint="default" w:ascii="Times New Roman" w:hAnsi="Times New Roman" w:eastAsia="宋体" w:cs="Times New Roman"/>
          <w:b w:val="0"/>
          <w:bCs w:val="0"/>
          <w:szCs w:val="21"/>
          <w:highlight w:val="none"/>
        </w:rPr>
        <w:fldChar w:fldCharType="end"/>
      </w:r>
    </w:p>
    <w:p w14:paraId="774E5CE6">
      <w:pPr>
        <w:pStyle w:val="23"/>
        <w:tabs>
          <w:tab w:val="right" w:leader="dot" w:pos="9354"/>
          <w:tab w:val="clear" w:pos="9242"/>
        </w:tabs>
        <w:rPr>
          <w:b w:val="0"/>
          <w:bCs w:val="0"/>
        </w:rPr>
      </w:pPr>
      <w:r>
        <w:rPr>
          <w:rFonts w:hint="default" w:ascii="Times New Roman" w:hAnsi="Times New Roman" w:eastAsia="宋体" w:cs="Times New Roman"/>
          <w:b w:val="0"/>
          <w:bCs w:val="0"/>
          <w:szCs w:val="21"/>
          <w:highlight w:val="none"/>
        </w:rPr>
        <w:fldChar w:fldCharType="begin"/>
      </w:r>
      <w:r>
        <w:rPr>
          <w:rFonts w:hint="default" w:ascii="Times New Roman" w:hAnsi="Times New Roman" w:eastAsia="宋体" w:cs="Times New Roman"/>
          <w:b w:val="0"/>
          <w:bCs w:val="0"/>
          <w:szCs w:val="21"/>
          <w:highlight w:val="none"/>
        </w:rPr>
        <w:instrText xml:space="preserve"> HYPERLINK \l _Toc26907 </w:instrText>
      </w:r>
      <w:r>
        <w:rPr>
          <w:rFonts w:hint="default" w:ascii="Times New Roman" w:hAnsi="Times New Roman" w:eastAsia="宋体" w:cs="Times New Roman"/>
          <w:b w:val="0"/>
          <w:bCs w:val="0"/>
          <w:szCs w:val="21"/>
          <w:highlight w:val="none"/>
        </w:rPr>
        <w:fldChar w:fldCharType="separate"/>
      </w:r>
      <w:r>
        <w:rPr>
          <w:rFonts w:ascii="黑体" w:hAnsi="宋体" w:eastAsia="黑体"/>
          <w:b w:val="0"/>
          <w:bCs w:val="0"/>
          <w:szCs w:val="21"/>
        </w:rPr>
        <w:t>附</w:t>
      </w:r>
      <w:r>
        <w:rPr>
          <w:rFonts w:hint="eastAsia" w:ascii="黑体" w:hAnsi="宋体" w:eastAsia="黑体"/>
          <w:b w:val="0"/>
          <w:bCs w:val="0"/>
          <w:szCs w:val="21"/>
        </w:rPr>
        <w:t>录A</w:t>
      </w:r>
      <w:r>
        <w:rPr>
          <w:rFonts w:hint="eastAsia" w:ascii="黑体" w:hAnsi="黑体" w:eastAsia="黑体"/>
          <w:b w:val="0"/>
          <w:bCs w:val="0"/>
          <w:szCs w:val="21"/>
        </w:rPr>
        <w:t>（资料性）</w:t>
      </w:r>
      <w:r>
        <w:rPr>
          <w:rFonts w:hint="eastAsia" w:ascii="黑体" w:hAnsi="黑体" w:eastAsia="黑体"/>
          <w:b w:val="0"/>
          <w:bCs w:val="0"/>
          <w:szCs w:val="21"/>
          <w:lang w:val="en-US" w:eastAsia="zh-CN"/>
        </w:rPr>
        <w:t>典型</w:t>
      </w:r>
      <w:r>
        <w:rPr>
          <w:rFonts w:hint="eastAsia" w:ascii="黑体" w:hAnsi="Times New Roman" w:eastAsia="黑体" w:cs="Times New Roman"/>
          <w:b w:val="0"/>
          <w:bCs w:val="0"/>
          <w:kern w:val="0"/>
          <w:szCs w:val="21"/>
          <w:lang w:val="en-US" w:eastAsia="zh-CN" w:bidi="ar-SA"/>
        </w:rPr>
        <w:t>建筑用墙面涂料</w:t>
      </w:r>
      <w:r>
        <w:rPr>
          <w:rFonts w:hint="eastAsia" w:ascii="黑体" w:hAnsi="黑体" w:eastAsia="黑体"/>
          <w:b w:val="0"/>
          <w:bCs w:val="0"/>
          <w:szCs w:val="21"/>
        </w:rPr>
        <w:t>产品标准</w:t>
      </w:r>
      <w:r>
        <w:rPr>
          <w:b w:val="0"/>
          <w:bCs w:val="0"/>
        </w:rPr>
        <w:tab/>
      </w:r>
      <w:r>
        <w:rPr>
          <w:b w:val="0"/>
          <w:bCs w:val="0"/>
        </w:rPr>
        <w:fldChar w:fldCharType="begin"/>
      </w:r>
      <w:r>
        <w:rPr>
          <w:b w:val="0"/>
          <w:bCs w:val="0"/>
        </w:rPr>
        <w:instrText xml:space="preserve"> PAGEREF _Toc26907 \h </w:instrText>
      </w:r>
      <w:r>
        <w:rPr>
          <w:b w:val="0"/>
          <w:bCs w:val="0"/>
        </w:rPr>
        <w:fldChar w:fldCharType="separate"/>
      </w:r>
      <w:r>
        <w:rPr>
          <w:b w:val="0"/>
          <w:bCs w:val="0"/>
        </w:rPr>
        <w:t>12</w:t>
      </w:r>
      <w:r>
        <w:rPr>
          <w:b w:val="0"/>
          <w:bCs w:val="0"/>
        </w:rPr>
        <w:fldChar w:fldCharType="end"/>
      </w:r>
      <w:r>
        <w:rPr>
          <w:rFonts w:hint="default" w:ascii="Times New Roman" w:hAnsi="Times New Roman" w:eastAsia="宋体" w:cs="Times New Roman"/>
          <w:b w:val="0"/>
          <w:bCs w:val="0"/>
          <w:szCs w:val="21"/>
          <w:highlight w:val="none"/>
        </w:rPr>
        <w:fldChar w:fldCharType="end"/>
      </w:r>
    </w:p>
    <w:p w14:paraId="568F8559">
      <w:pPr>
        <w:pStyle w:val="23"/>
        <w:tabs>
          <w:tab w:val="right" w:leader="dot" w:pos="9354"/>
          <w:tab w:val="clear" w:pos="9242"/>
        </w:tabs>
        <w:rPr>
          <w:b w:val="0"/>
          <w:bCs w:val="0"/>
        </w:rPr>
      </w:pPr>
      <w:r>
        <w:rPr>
          <w:rFonts w:hint="default" w:ascii="Times New Roman" w:hAnsi="Times New Roman" w:eastAsia="宋体" w:cs="Times New Roman"/>
          <w:b w:val="0"/>
          <w:bCs w:val="0"/>
          <w:szCs w:val="21"/>
          <w:highlight w:val="none"/>
        </w:rPr>
        <w:fldChar w:fldCharType="begin"/>
      </w:r>
      <w:r>
        <w:rPr>
          <w:rFonts w:hint="default" w:ascii="Times New Roman" w:hAnsi="Times New Roman" w:eastAsia="宋体" w:cs="Times New Roman"/>
          <w:b w:val="0"/>
          <w:bCs w:val="0"/>
          <w:szCs w:val="21"/>
          <w:highlight w:val="none"/>
        </w:rPr>
        <w:instrText xml:space="preserve"> HYPERLINK \l _Toc10801 </w:instrText>
      </w:r>
      <w:r>
        <w:rPr>
          <w:rFonts w:hint="default" w:ascii="Times New Roman" w:hAnsi="Times New Roman" w:eastAsia="宋体" w:cs="Times New Roman"/>
          <w:b w:val="0"/>
          <w:bCs w:val="0"/>
          <w:szCs w:val="21"/>
          <w:highlight w:val="none"/>
        </w:rPr>
        <w:fldChar w:fldCharType="separate"/>
      </w:r>
      <w:r>
        <w:rPr>
          <w:rFonts w:hint="eastAsia" w:ascii="黑体" w:hAnsi="宋体" w:eastAsia="黑体"/>
          <w:b w:val="0"/>
          <w:bCs w:val="0"/>
          <w:szCs w:val="21"/>
        </w:rPr>
        <w:t>附录</w:t>
      </w:r>
      <w:r>
        <w:rPr>
          <w:rFonts w:hint="eastAsia" w:ascii="黑体" w:hAnsi="宋体" w:eastAsia="黑体"/>
          <w:b w:val="0"/>
          <w:bCs w:val="0"/>
          <w:szCs w:val="21"/>
          <w:lang w:val="en-US" w:eastAsia="zh-CN"/>
        </w:rPr>
        <w:t>B</w:t>
      </w:r>
      <w:r>
        <w:rPr>
          <w:rFonts w:hint="eastAsia" w:ascii="黑体" w:hAnsi="宋体" w:eastAsia="黑体"/>
          <w:b w:val="0"/>
          <w:bCs w:val="0"/>
          <w:szCs w:val="21"/>
        </w:rPr>
        <w:t>（资料性）现场数据采集信息</w:t>
      </w:r>
      <w:r>
        <w:rPr>
          <w:b w:val="0"/>
          <w:bCs w:val="0"/>
        </w:rPr>
        <w:tab/>
      </w:r>
      <w:r>
        <w:rPr>
          <w:b w:val="0"/>
          <w:bCs w:val="0"/>
        </w:rPr>
        <w:fldChar w:fldCharType="begin"/>
      </w:r>
      <w:r>
        <w:rPr>
          <w:b w:val="0"/>
          <w:bCs w:val="0"/>
        </w:rPr>
        <w:instrText xml:space="preserve"> PAGEREF _Toc10801 \h </w:instrText>
      </w:r>
      <w:r>
        <w:rPr>
          <w:b w:val="0"/>
          <w:bCs w:val="0"/>
        </w:rPr>
        <w:fldChar w:fldCharType="separate"/>
      </w:r>
      <w:r>
        <w:rPr>
          <w:b w:val="0"/>
          <w:bCs w:val="0"/>
        </w:rPr>
        <w:t>13</w:t>
      </w:r>
      <w:r>
        <w:rPr>
          <w:b w:val="0"/>
          <w:bCs w:val="0"/>
        </w:rPr>
        <w:fldChar w:fldCharType="end"/>
      </w:r>
      <w:r>
        <w:rPr>
          <w:rFonts w:hint="default" w:ascii="Times New Roman" w:hAnsi="Times New Roman" w:eastAsia="宋体" w:cs="Times New Roman"/>
          <w:b w:val="0"/>
          <w:bCs w:val="0"/>
          <w:szCs w:val="21"/>
          <w:highlight w:val="none"/>
        </w:rPr>
        <w:fldChar w:fldCharType="end"/>
      </w:r>
    </w:p>
    <w:p w14:paraId="25BA9044">
      <w:pPr>
        <w:pStyle w:val="23"/>
        <w:tabs>
          <w:tab w:val="right" w:leader="dot" w:pos="9354"/>
          <w:tab w:val="clear" w:pos="9242"/>
        </w:tabs>
        <w:rPr>
          <w:b w:val="0"/>
          <w:bCs w:val="0"/>
        </w:rPr>
      </w:pPr>
      <w:r>
        <w:rPr>
          <w:rFonts w:hint="default" w:ascii="Times New Roman" w:hAnsi="Times New Roman" w:eastAsia="宋体" w:cs="Times New Roman"/>
          <w:b w:val="0"/>
          <w:bCs w:val="0"/>
          <w:szCs w:val="21"/>
          <w:highlight w:val="none"/>
        </w:rPr>
        <w:fldChar w:fldCharType="begin"/>
      </w:r>
      <w:r>
        <w:rPr>
          <w:rFonts w:hint="default" w:ascii="Times New Roman" w:hAnsi="Times New Roman" w:eastAsia="宋体" w:cs="Times New Roman"/>
          <w:b w:val="0"/>
          <w:bCs w:val="0"/>
          <w:szCs w:val="21"/>
          <w:highlight w:val="none"/>
        </w:rPr>
        <w:instrText xml:space="preserve"> HYPERLINK \l _Toc14683 </w:instrText>
      </w:r>
      <w:r>
        <w:rPr>
          <w:rFonts w:hint="default" w:ascii="Times New Roman" w:hAnsi="Times New Roman" w:eastAsia="宋体" w:cs="Times New Roman"/>
          <w:b w:val="0"/>
          <w:bCs w:val="0"/>
          <w:szCs w:val="21"/>
          <w:highlight w:val="none"/>
        </w:rPr>
        <w:fldChar w:fldCharType="separate"/>
      </w:r>
      <w:r>
        <w:rPr>
          <w:rFonts w:hint="eastAsia" w:ascii="黑体" w:hAnsi="黑体" w:eastAsia="黑体" w:cs="黑体"/>
          <w:b w:val="0"/>
          <w:bCs w:val="0"/>
          <w:szCs w:val="21"/>
          <w:highlight w:val="none"/>
        </w:rPr>
        <w:t>附录</w:t>
      </w:r>
      <w:r>
        <w:rPr>
          <w:rFonts w:hint="eastAsia" w:ascii="黑体" w:hAnsi="黑体" w:eastAsia="黑体" w:cs="黑体"/>
          <w:b w:val="0"/>
          <w:bCs w:val="0"/>
          <w:szCs w:val="21"/>
          <w:highlight w:val="none"/>
          <w:lang w:val="en-US" w:eastAsia="zh-CN"/>
        </w:rPr>
        <w:t>C</w:t>
      </w:r>
      <w:r>
        <w:rPr>
          <w:rFonts w:hint="eastAsia" w:ascii="黑体" w:hAnsi="黑体" w:eastAsia="黑体" w:cs="黑体"/>
          <w:b w:val="0"/>
          <w:bCs w:val="0"/>
          <w:szCs w:val="21"/>
          <w:highlight w:val="none"/>
        </w:rPr>
        <w:t>（资料性）次级数据采集信息</w:t>
      </w:r>
      <w:r>
        <w:rPr>
          <w:b w:val="0"/>
          <w:bCs w:val="0"/>
        </w:rPr>
        <w:tab/>
      </w:r>
      <w:r>
        <w:rPr>
          <w:b w:val="0"/>
          <w:bCs w:val="0"/>
        </w:rPr>
        <w:fldChar w:fldCharType="begin"/>
      </w:r>
      <w:r>
        <w:rPr>
          <w:b w:val="0"/>
          <w:bCs w:val="0"/>
        </w:rPr>
        <w:instrText xml:space="preserve"> PAGEREF _Toc14683 \h </w:instrText>
      </w:r>
      <w:r>
        <w:rPr>
          <w:b w:val="0"/>
          <w:bCs w:val="0"/>
        </w:rPr>
        <w:fldChar w:fldCharType="separate"/>
      </w:r>
      <w:r>
        <w:rPr>
          <w:b w:val="0"/>
          <w:bCs w:val="0"/>
        </w:rPr>
        <w:t>15</w:t>
      </w:r>
      <w:r>
        <w:rPr>
          <w:b w:val="0"/>
          <w:bCs w:val="0"/>
        </w:rPr>
        <w:fldChar w:fldCharType="end"/>
      </w:r>
      <w:r>
        <w:rPr>
          <w:rFonts w:hint="default" w:ascii="Times New Roman" w:hAnsi="Times New Roman" w:eastAsia="宋体" w:cs="Times New Roman"/>
          <w:b w:val="0"/>
          <w:bCs w:val="0"/>
          <w:szCs w:val="21"/>
          <w:highlight w:val="none"/>
        </w:rPr>
        <w:fldChar w:fldCharType="end"/>
      </w:r>
    </w:p>
    <w:p w14:paraId="1DBCBFCC">
      <w:pPr>
        <w:pStyle w:val="23"/>
        <w:tabs>
          <w:tab w:val="right" w:leader="dot" w:pos="9354"/>
          <w:tab w:val="clear" w:pos="9242"/>
        </w:tabs>
        <w:rPr>
          <w:b w:val="0"/>
          <w:bCs w:val="0"/>
        </w:rPr>
      </w:pPr>
      <w:r>
        <w:rPr>
          <w:rFonts w:hint="default" w:ascii="Times New Roman" w:hAnsi="Times New Roman" w:eastAsia="宋体" w:cs="Times New Roman"/>
          <w:b w:val="0"/>
          <w:bCs w:val="0"/>
          <w:szCs w:val="21"/>
          <w:highlight w:val="none"/>
        </w:rPr>
        <w:fldChar w:fldCharType="begin"/>
      </w:r>
      <w:r>
        <w:rPr>
          <w:rFonts w:hint="default" w:ascii="Times New Roman" w:hAnsi="Times New Roman" w:eastAsia="宋体" w:cs="Times New Roman"/>
          <w:b w:val="0"/>
          <w:bCs w:val="0"/>
          <w:szCs w:val="21"/>
          <w:highlight w:val="none"/>
        </w:rPr>
        <w:instrText xml:space="preserve"> HYPERLINK \l _Toc3063 </w:instrText>
      </w:r>
      <w:r>
        <w:rPr>
          <w:rFonts w:hint="default" w:ascii="Times New Roman" w:hAnsi="Times New Roman" w:eastAsia="宋体" w:cs="Times New Roman"/>
          <w:b w:val="0"/>
          <w:bCs w:val="0"/>
          <w:szCs w:val="21"/>
          <w:highlight w:val="none"/>
        </w:rPr>
        <w:fldChar w:fldCharType="separate"/>
      </w:r>
      <w:r>
        <w:rPr>
          <w:rFonts w:hint="eastAsia" w:ascii="黑体" w:hAnsi="黑体" w:eastAsia="黑体" w:cs="黑体"/>
          <w:b w:val="0"/>
          <w:bCs w:val="0"/>
          <w:szCs w:val="21"/>
          <w:highlight w:val="none"/>
          <w:lang w:val="en-US" w:eastAsia="zh-CN"/>
        </w:rPr>
        <w:t>附录D</w:t>
      </w:r>
      <w:r>
        <w:rPr>
          <w:rFonts w:hint="eastAsia" w:ascii="黑体" w:hAnsi="黑体" w:eastAsia="黑体" w:cs="黑体"/>
          <w:b w:val="0"/>
          <w:bCs w:val="0"/>
          <w:szCs w:val="21"/>
          <w:highlight w:val="none"/>
        </w:rPr>
        <w:t>（资料性）GWP参考值</w:t>
      </w:r>
      <w:r>
        <w:rPr>
          <w:b w:val="0"/>
          <w:bCs w:val="0"/>
        </w:rPr>
        <w:tab/>
      </w:r>
      <w:r>
        <w:rPr>
          <w:b w:val="0"/>
          <w:bCs w:val="0"/>
        </w:rPr>
        <w:fldChar w:fldCharType="begin"/>
      </w:r>
      <w:r>
        <w:rPr>
          <w:b w:val="0"/>
          <w:bCs w:val="0"/>
        </w:rPr>
        <w:instrText xml:space="preserve"> PAGEREF _Toc3063 \h </w:instrText>
      </w:r>
      <w:r>
        <w:rPr>
          <w:b w:val="0"/>
          <w:bCs w:val="0"/>
        </w:rPr>
        <w:fldChar w:fldCharType="separate"/>
      </w:r>
      <w:r>
        <w:rPr>
          <w:b w:val="0"/>
          <w:bCs w:val="0"/>
        </w:rPr>
        <w:t>16</w:t>
      </w:r>
      <w:r>
        <w:rPr>
          <w:b w:val="0"/>
          <w:bCs w:val="0"/>
        </w:rPr>
        <w:fldChar w:fldCharType="end"/>
      </w:r>
      <w:r>
        <w:rPr>
          <w:rFonts w:hint="default" w:ascii="Times New Roman" w:hAnsi="Times New Roman" w:eastAsia="宋体" w:cs="Times New Roman"/>
          <w:b w:val="0"/>
          <w:bCs w:val="0"/>
          <w:szCs w:val="21"/>
          <w:highlight w:val="none"/>
        </w:rPr>
        <w:fldChar w:fldCharType="end"/>
      </w:r>
    </w:p>
    <w:p w14:paraId="69DCCF8C">
      <w:pPr>
        <w:pStyle w:val="23"/>
        <w:tabs>
          <w:tab w:val="right" w:leader="dot" w:pos="9354"/>
          <w:tab w:val="clear" w:pos="9242"/>
        </w:tabs>
        <w:rPr>
          <w:b w:val="0"/>
          <w:bCs w:val="0"/>
        </w:rPr>
      </w:pPr>
      <w:r>
        <w:rPr>
          <w:rFonts w:hint="default" w:ascii="Times New Roman" w:hAnsi="Times New Roman" w:eastAsia="宋体" w:cs="Times New Roman"/>
          <w:b w:val="0"/>
          <w:bCs w:val="0"/>
          <w:szCs w:val="21"/>
          <w:highlight w:val="none"/>
        </w:rPr>
        <w:fldChar w:fldCharType="begin"/>
      </w:r>
      <w:r>
        <w:rPr>
          <w:rFonts w:hint="default" w:ascii="Times New Roman" w:hAnsi="Times New Roman" w:eastAsia="宋体" w:cs="Times New Roman"/>
          <w:b w:val="0"/>
          <w:bCs w:val="0"/>
          <w:szCs w:val="21"/>
          <w:highlight w:val="none"/>
        </w:rPr>
        <w:instrText xml:space="preserve"> HYPERLINK \l _Toc19531 </w:instrText>
      </w:r>
      <w:r>
        <w:rPr>
          <w:rFonts w:hint="default" w:ascii="Times New Roman" w:hAnsi="Times New Roman" w:eastAsia="宋体" w:cs="Times New Roman"/>
          <w:b w:val="0"/>
          <w:bCs w:val="0"/>
          <w:szCs w:val="21"/>
          <w:highlight w:val="none"/>
        </w:rPr>
        <w:fldChar w:fldCharType="separate"/>
      </w:r>
      <w:r>
        <w:rPr>
          <w:rFonts w:hint="eastAsia" w:ascii="黑体" w:hAnsi="黑体" w:eastAsia="黑体" w:cs="黑体"/>
          <w:b w:val="0"/>
          <w:bCs w:val="0"/>
          <w:szCs w:val="21"/>
          <w:highlight w:val="none"/>
          <w:lang w:val="en-US" w:eastAsia="zh-CN"/>
        </w:rPr>
        <w:t>附录E（资料性）数据质量评价方法</w:t>
      </w:r>
      <w:r>
        <w:rPr>
          <w:b w:val="0"/>
          <w:bCs w:val="0"/>
        </w:rPr>
        <w:tab/>
      </w:r>
      <w:r>
        <w:rPr>
          <w:b w:val="0"/>
          <w:bCs w:val="0"/>
        </w:rPr>
        <w:fldChar w:fldCharType="begin"/>
      </w:r>
      <w:r>
        <w:rPr>
          <w:b w:val="0"/>
          <w:bCs w:val="0"/>
        </w:rPr>
        <w:instrText xml:space="preserve"> PAGEREF _Toc19531 \h </w:instrText>
      </w:r>
      <w:r>
        <w:rPr>
          <w:b w:val="0"/>
          <w:bCs w:val="0"/>
        </w:rPr>
        <w:fldChar w:fldCharType="separate"/>
      </w:r>
      <w:r>
        <w:rPr>
          <w:b w:val="0"/>
          <w:bCs w:val="0"/>
        </w:rPr>
        <w:t>17</w:t>
      </w:r>
      <w:r>
        <w:rPr>
          <w:b w:val="0"/>
          <w:bCs w:val="0"/>
        </w:rPr>
        <w:fldChar w:fldCharType="end"/>
      </w:r>
      <w:r>
        <w:rPr>
          <w:rFonts w:hint="default" w:ascii="Times New Roman" w:hAnsi="Times New Roman" w:eastAsia="宋体" w:cs="Times New Roman"/>
          <w:b w:val="0"/>
          <w:bCs w:val="0"/>
          <w:szCs w:val="21"/>
          <w:highlight w:val="none"/>
        </w:rPr>
        <w:fldChar w:fldCharType="end"/>
      </w:r>
    </w:p>
    <w:p w14:paraId="3D4FDE0F">
      <w:pPr>
        <w:pStyle w:val="23"/>
        <w:tabs>
          <w:tab w:val="right" w:leader="dot" w:pos="9354"/>
          <w:tab w:val="clear" w:pos="9242"/>
        </w:tabs>
        <w:rPr>
          <w:b w:val="0"/>
          <w:bCs w:val="0"/>
        </w:rPr>
      </w:pPr>
      <w:r>
        <w:rPr>
          <w:rFonts w:hint="default" w:ascii="Times New Roman" w:hAnsi="Times New Roman" w:eastAsia="宋体" w:cs="Times New Roman"/>
          <w:b w:val="0"/>
          <w:bCs w:val="0"/>
          <w:szCs w:val="21"/>
          <w:highlight w:val="none"/>
        </w:rPr>
        <w:fldChar w:fldCharType="begin"/>
      </w:r>
      <w:r>
        <w:rPr>
          <w:rFonts w:hint="default" w:ascii="Times New Roman" w:hAnsi="Times New Roman" w:eastAsia="宋体" w:cs="Times New Roman"/>
          <w:b w:val="0"/>
          <w:bCs w:val="0"/>
          <w:szCs w:val="21"/>
          <w:highlight w:val="none"/>
        </w:rPr>
        <w:instrText xml:space="preserve"> HYPERLINK \l _Toc8707 </w:instrText>
      </w:r>
      <w:r>
        <w:rPr>
          <w:rFonts w:hint="default" w:ascii="Times New Roman" w:hAnsi="Times New Roman" w:eastAsia="宋体" w:cs="Times New Roman"/>
          <w:b w:val="0"/>
          <w:bCs w:val="0"/>
          <w:szCs w:val="21"/>
          <w:highlight w:val="none"/>
        </w:rPr>
        <w:fldChar w:fldCharType="separate"/>
      </w:r>
      <w:r>
        <w:rPr>
          <w:rFonts w:ascii="黑体" w:hAnsi="宋体" w:eastAsia="黑体"/>
          <w:b w:val="0"/>
          <w:bCs w:val="0"/>
          <w:szCs w:val="21"/>
        </w:rPr>
        <w:t xml:space="preserve">附录F </w:t>
      </w:r>
      <w:r>
        <w:rPr>
          <w:rFonts w:hint="eastAsia" w:ascii="黑体" w:hAnsi="宋体" w:eastAsia="黑体"/>
          <w:b w:val="0"/>
          <w:bCs w:val="0"/>
          <w:szCs w:val="21"/>
        </w:rPr>
        <w:t>（资料性）</w:t>
      </w:r>
      <w:r>
        <w:rPr>
          <w:rFonts w:ascii="黑体" w:hAnsi="宋体" w:eastAsia="黑体"/>
          <w:b w:val="0"/>
          <w:bCs w:val="0"/>
          <w:szCs w:val="21"/>
        </w:rPr>
        <w:t xml:space="preserve"> </w:t>
      </w:r>
      <w:r>
        <w:rPr>
          <w:rFonts w:hint="eastAsia" w:ascii="黑体" w:hAnsi="宋体" w:eastAsia="黑体"/>
          <w:b w:val="0"/>
          <w:bCs w:val="0"/>
          <w:szCs w:val="21"/>
        </w:rPr>
        <w:t>产品碳足迹报告（模板）</w:t>
      </w:r>
      <w:r>
        <w:rPr>
          <w:b w:val="0"/>
          <w:bCs w:val="0"/>
        </w:rPr>
        <w:tab/>
      </w:r>
      <w:r>
        <w:rPr>
          <w:b w:val="0"/>
          <w:bCs w:val="0"/>
        </w:rPr>
        <w:fldChar w:fldCharType="begin"/>
      </w:r>
      <w:r>
        <w:rPr>
          <w:b w:val="0"/>
          <w:bCs w:val="0"/>
        </w:rPr>
        <w:instrText xml:space="preserve"> PAGEREF _Toc8707 \h </w:instrText>
      </w:r>
      <w:r>
        <w:rPr>
          <w:b w:val="0"/>
          <w:bCs w:val="0"/>
        </w:rPr>
        <w:fldChar w:fldCharType="separate"/>
      </w:r>
      <w:r>
        <w:rPr>
          <w:b w:val="0"/>
          <w:bCs w:val="0"/>
        </w:rPr>
        <w:t>18</w:t>
      </w:r>
      <w:r>
        <w:rPr>
          <w:b w:val="0"/>
          <w:bCs w:val="0"/>
        </w:rPr>
        <w:fldChar w:fldCharType="end"/>
      </w:r>
      <w:r>
        <w:rPr>
          <w:rFonts w:hint="default" w:ascii="Times New Roman" w:hAnsi="Times New Roman" w:eastAsia="宋体" w:cs="Times New Roman"/>
          <w:b w:val="0"/>
          <w:bCs w:val="0"/>
          <w:szCs w:val="21"/>
          <w:highlight w:val="none"/>
        </w:rPr>
        <w:fldChar w:fldCharType="end"/>
      </w:r>
    </w:p>
    <w:p w14:paraId="51EC47C0">
      <w:pPr>
        <w:pStyle w:val="23"/>
        <w:tabs>
          <w:tab w:val="right" w:leader="dot" w:pos="9354"/>
          <w:tab w:val="clear" w:pos="9242"/>
        </w:tabs>
      </w:pPr>
      <w:r>
        <w:rPr>
          <w:rFonts w:hint="default" w:ascii="Times New Roman" w:hAnsi="Times New Roman" w:eastAsia="宋体" w:cs="Times New Roman"/>
          <w:b w:val="0"/>
          <w:bCs w:val="0"/>
          <w:szCs w:val="21"/>
          <w:highlight w:val="none"/>
        </w:rPr>
        <w:fldChar w:fldCharType="begin"/>
      </w:r>
      <w:r>
        <w:rPr>
          <w:rFonts w:hint="default" w:ascii="Times New Roman" w:hAnsi="Times New Roman" w:eastAsia="宋体" w:cs="Times New Roman"/>
          <w:b w:val="0"/>
          <w:bCs w:val="0"/>
          <w:szCs w:val="21"/>
          <w:highlight w:val="none"/>
        </w:rPr>
        <w:instrText xml:space="preserve"> HYPERLINK \l _Toc28765 </w:instrText>
      </w:r>
      <w:r>
        <w:rPr>
          <w:rFonts w:hint="default" w:ascii="Times New Roman" w:hAnsi="Times New Roman" w:eastAsia="宋体" w:cs="Times New Roman"/>
          <w:b w:val="0"/>
          <w:bCs w:val="0"/>
          <w:szCs w:val="21"/>
          <w:highlight w:val="none"/>
        </w:rPr>
        <w:fldChar w:fldCharType="separate"/>
      </w:r>
      <w:r>
        <w:rPr>
          <w:rFonts w:hint="eastAsia" w:ascii="黑体" w:hAnsi="宋体" w:eastAsia="黑体"/>
          <w:b w:val="0"/>
          <w:bCs w:val="0"/>
          <w:szCs w:val="32"/>
        </w:rPr>
        <w:t>参考文献</w:t>
      </w:r>
      <w:r>
        <w:rPr>
          <w:b w:val="0"/>
          <w:bCs w:val="0"/>
        </w:rPr>
        <w:tab/>
      </w:r>
      <w:r>
        <w:rPr>
          <w:b w:val="0"/>
          <w:bCs w:val="0"/>
        </w:rPr>
        <w:fldChar w:fldCharType="begin"/>
      </w:r>
      <w:r>
        <w:rPr>
          <w:b w:val="0"/>
          <w:bCs w:val="0"/>
        </w:rPr>
        <w:instrText xml:space="preserve"> PAGEREF _Toc28765 \h </w:instrText>
      </w:r>
      <w:r>
        <w:rPr>
          <w:b w:val="0"/>
          <w:bCs w:val="0"/>
        </w:rPr>
        <w:fldChar w:fldCharType="separate"/>
      </w:r>
      <w:r>
        <w:rPr>
          <w:b w:val="0"/>
          <w:bCs w:val="0"/>
        </w:rPr>
        <w:t>22</w:t>
      </w:r>
      <w:r>
        <w:rPr>
          <w:b w:val="0"/>
          <w:bCs w:val="0"/>
        </w:rPr>
        <w:fldChar w:fldCharType="end"/>
      </w:r>
      <w:r>
        <w:rPr>
          <w:rFonts w:hint="default" w:ascii="Times New Roman" w:hAnsi="Times New Roman" w:eastAsia="宋体" w:cs="Times New Roman"/>
          <w:b w:val="0"/>
          <w:bCs w:val="0"/>
          <w:szCs w:val="21"/>
          <w:highlight w:val="none"/>
        </w:rPr>
        <w:fldChar w:fldCharType="end"/>
      </w:r>
    </w:p>
    <w:p w14:paraId="5541738A">
      <w:pPr>
        <w:pStyle w:val="3"/>
        <w:spacing w:line="276" w:lineRule="auto"/>
        <w:rPr>
          <w:rFonts w:ascii="Times New Roman" w:hAnsi="Times New Roman"/>
          <w:sz w:val="32"/>
          <w:highlight w:val="none"/>
        </w:rPr>
        <w:sectPr>
          <w:headerReference r:id="rId7" w:type="first"/>
          <w:footerReference r:id="rId9" w:type="first"/>
          <w:headerReference r:id="rId6" w:type="default"/>
          <w:footerReference r:id="rId8" w:type="default"/>
          <w:pgSz w:w="11906" w:h="16838"/>
          <w:pgMar w:top="1052" w:right="1134" w:bottom="1440" w:left="1418" w:header="1134" w:footer="1134" w:gutter="0"/>
          <w:pgNumType w:fmt="upperRoman"/>
          <w:cols w:space="425" w:num="1"/>
          <w:formProt w:val="0"/>
          <w:titlePg/>
          <w:docGrid w:type="linesAndChars" w:linePitch="312" w:charSpace="0"/>
        </w:sectPr>
      </w:pPr>
      <w:r>
        <w:rPr>
          <w:rFonts w:hint="default" w:ascii="Times New Roman" w:hAnsi="Times New Roman" w:eastAsia="宋体" w:cs="Times New Roman"/>
          <w:szCs w:val="21"/>
          <w:highlight w:val="none"/>
        </w:rPr>
        <w:fldChar w:fldCharType="end"/>
      </w:r>
    </w:p>
    <w:p w14:paraId="36D34F9C">
      <w:pPr>
        <w:spacing w:line="276" w:lineRule="auto"/>
        <w:jc w:val="center"/>
        <w:outlineLvl w:val="0"/>
        <w:rPr>
          <w:sz w:val="32"/>
          <w:highlight w:val="none"/>
        </w:rPr>
      </w:pPr>
      <w:bookmarkStart w:id="0" w:name="_Toc13301"/>
      <w:bookmarkStart w:id="1" w:name="_Toc2192"/>
      <w:r>
        <w:rPr>
          <w:rFonts w:hint="eastAsia" w:ascii="黑体" w:hAnsi="黑体" w:eastAsia="黑体" w:cs="黑体"/>
          <w:sz w:val="32"/>
          <w:highlight w:val="none"/>
        </w:rPr>
        <w:t>前  言</w:t>
      </w:r>
      <w:bookmarkEnd w:id="0"/>
      <w:bookmarkEnd w:id="1"/>
    </w:p>
    <w:p w14:paraId="0C92D931">
      <w:pPr>
        <w:spacing w:line="276" w:lineRule="auto"/>
        <w:jc w:val="center"/>
        <w:rPr>
          <w:highlight w:val="none"/>
        </w:rPr>
      </w:pPr>
    </w:p>
    <w:p w14:paraId="6A87F38F">
      <w:pPr>
        <w:autoSpaceDE w:val="0"/>
        <w:autoSpaceDN w:val="0"/>
        <w:adjustRightInd w:val="0"/>
        <w:spacing w:line="276" w:lineRule="auto"/>
        <w:ind w:firstLine="420" w:firstLineChars="200"/>
        <w:rPr>
          <w:highlight w:val="none"/>
        </w:rPr>
      </w:pPr>
      <w:r>
        <w:rPr>
          <w:highlight w:val="none"/>
        </w:rPr>
        <w:t>本文件按照GB/T 1.1-2020《标准化工作导则 第1部分：标准化文件的结构和起草规则》的规定起草。</w:t>
      </w:r>
    </w:p>
    <w:p w14:paraId="33A7AFAA">
      <w:pPr>
        <w:autoSpaceDE w:val="0"/>
        <w:autoSpaceDN w:val="0"/>
        <w:adjustRightInd w:val="0"/>
        <w:spacing w:line="276" w:lineRule="auto"/>
        <w:ind w:firstLine="420" w:firstLineChars="200"/>
        <w:rPr>
          <w:highlight w:val="none"/>
        </w:rPr>
      </w:pPr>
      <w:r>
        <w:rPr>
          <w:highlight w:val="none"/>
        </w:rPr>
        <w:t>请注意本文件的某些内容可能涉及专利。本文件的发布机构不承担识别专利的责任。</w:t>
      </w:r>
    </w:p>
    <w:p w14:paraId="43ADF9BC">
      <w:pPr>
        <w:autoSpaceDE w:val="0"/>
        <w:autoSpaceDN w:val="0"/>
        <w:adjustRightInd w:val="0"/>
        <w:spacing w:line="276" w:lineRule="auto"/>
        <w:ind w:firstLine="420" w:firstLineChars="200"/>
        <w:rPr>
          <w:color w:val="000000"/>
          <w:kern w:val="0"/>
          <w:szCs w:val="22"/>
          <w:highlight w:val="none"/>
        </w:rPr>
      </w:pPr>
      <w:r>
        <w:rPr>
          <w:color w:val="000000"/>
          <w:kern w:val="0"/>
          <w:szCs w:val="22"/>
          <w:highlight w:val="none"/>
        </w:rPr>
        <w:t>本文件由中国建筑材</w:t>
      </w:r>
      <w:bookmarkStart w:id="112" w:name="_GoBack"/>
      <w:bookmarkEnd w:id="112"/>
      <w:r>
        <w:rPr>
          <w:color w:val="000000"/>
          <w:kern w:val="0"/>
          <w:szCs w:val="22"/>
          <w:highlight w:val="none"/>
        </w:rPr>
        <w:t>料联合会提出</w:t>
      </w:r>
      <w:r>
        <w:rPr>
          <w:rFonts w:hint="eastAsia"/>
          <w:color w:val="000000"/>
          <w:kern w:val="0"/>
          <w:szCs w:val="22"/>
          <w:highlight w:val="none"/>
          <w:lang w:val="en-US" w:eastAsia="zh-CN"/>
        </w:rPr>
        <w:t>并归口</w:t>
      </w:r>
      <w:r>
        <w:rPr>
          <w:color w:val="000000"/>
          <w:kern w:val="0"/>
          <w:szCs w:val="22"/>
          <w:highlight w:val="none"/>
        </w:rPr>
        <w:t>。</w:t>
      </w:r>
    </w:p>
    <w:p w14:paraId="153BB4B5">
      <w:pPr>
        <w:autoSpaceDE w:val="0"/>
        <w:autoSpaceDN w:val="0"/>
        <w:adjustRightInd w:val="0"/>
        <w:spacing w:line="276" w:lineRule="auto"/>
        <w:ind w:firstLine="420" w:firstLineChars="200"/>
        <w:rPr>
          <w:rFonts w:hint="default" w:eastAsia="宋体"/>
          <w:color w:val="000000"/>
          <w:kern w:val="0"/>
          <w:szCs w:val="22"/>
          <w:highlight w:val="none"/>
          <w:lang w:val="en-US" w:eastAsia="zh-CN"/>
        </w:rPr>
      </w:pPr>
      <w:r>
        <w:rPr>
          <w:color w:val="000000"/>
          <w:kern w:val="0"/>
          <w:szCs w:val="22"/>
          <w:highlight w:val="none"/>
        </w:rPr>
        <w:t>本文件起草单位：</w:t>
      </w:r>
      <w:r>
        <w:rPr>
          <w:rFonts w:hint="default" w:ascii="Times New Roman" w:hAnsi="Times New Roman" w:eastAsia="宋体" w:cs="Times New Roman"/>
          <w:b w:val="0"/>
          <w:bCs w:val="0"/>
          <w:color w:val="000000"/>
          <w:kern w:val="0"/>
          <w:sz w:val="21"/>
          <w:szCs w:val="22"/>
          <w:highlight w:val="none"/>
          <w:lang w:val="en-US" w:eastAsia="zh-CN" w:bidi="ar-SA"/>
        </w:rPr>
        <w:t>北京建筑材料检验研究院股份有限公司</w:t>
      </w:r>
      <w:r>
        <w:rPr>
          <w:rFonts w:hint="default" w:ascii="Times New Roman" w:hAnsi="Times New Roman" w:cs="Times New Roman"/>
          <w:b w:val="0"/>
          <w:bCs w:val="0"/>
          <w:color w:val="000000"/>
          <w:kern w:val="0"/>
          <w:sz w:val="21"/>
          <w:szCs w:val="22"/>
          <w:highlight w:val="none"/>
          <w:lang w:val="en-US" w:eastAsia="zh-CN" w:bidi="ar-SA"/>
        </w:rPr>
        <w:t>、</w:t>
      </w:r>
      <w:r>
        <w:rPr>
          <w:rFonts w:hint="default" w:ascii="Times New Roman" w:hAnsi="Times New Roman" w:eastAsia="宋体" w:cs="Times New Roman"/>
          <w:b w:val="0"/>
          <w:bCs w:val="0"/>
          <w:color w:val="000000"/>
          <w:kern w:val="0"/>
          <w:sz w:val="21"/>
          <w:szCs w:val="22"/>
          <w:highlight w:val="none"/>
          <w:lang w:val="en-US" w:eastAsia="zh-CN" w:bidi="ar-SA"/>
        </w:rPr>
        <w:t>北京建筑材料科学研究总院有限公司、大厂金隅涂料有限责任公司、富思特新材料科技发展股份有限公司、青岛盛世嘉华涂料制造有限公司</w:t>
      </w:r>
      <w:r>
        <w:rPr>
          <w:rFonts w:hint="eastAsia" w:cs="Times New Roman"/>
          <w:b w:val="0"/>
          <w:bCs w:val="0"/>
          <w:color w:val="000000"/>
          <w:kern w:val="0"/>
          <w:sz w:val="21"/>
          <w:szCs w:val="22"/>
          <w:highlight w:val="none"/>
          <w:lang w:val="en-US" w:eastAsia="zh-CN" w:bidi="ar-SA"/>
        </w:rPr>
        <w:t>。</w:t>
      </w:r>
    </w:p>
    <w:p w14:paraId="05E30AC5">
      <w:pPr>
        <w:autoSpaceDE w:val="0"/>
        <w:autoSpaceDN w:val="0"/>
        <w:adjustRightInd w:val="0"/>
        <w:spacing w:line="276" w:lineRule="auto"/>
        <w:ind w:firstLine="420" w:firstLineChars="200"/>
        <w:rPr>
          <w:rFonts w:hint="default" w:eastAsia="宋体"/>
          <w:highlight w:val="none"/>
          <w:lang w:val="en-US" w:eastAsia="zh-CN"/>
        </w:rPr>
      </w:pPr>
      <w:r>
        <w:rPr>
          <w:highlight w:val="none"/>
        </w:rPr>
        <w:t>本文件主要起草人：</w:t>
      </w:r>
    </w:p>
    <w:p w14:paraId="66CC59D2">
      <w:pPr>
        <w:autoSpaceDE w:val="0"/>
        <w:autoSpaceDN w:val="0"/>
        <w:adjustRightInd w:val="0"/>
        <w:spacing w:line="276" w:lineRule="auto"/>
        <w:rPr>
          <w:kern w:val="0"/>
          <w:sz w:val="20"/>
          <w:szCs w:val="20"/>
          <w:highlight w:val="none"/>
        </w:rPr>
      </w:pPr>
    </w:p>
    <w:p w14:paraId="7FD9EB1C">
      <w:pPr>
        <w:autoSpaceDE w:val="0"/>
        <w:autoSpaceDN w:val="0"/>
        <w:adjustRightInd w:val="0"/>
        <w:spacing w:line="276" w:lineRule="auto"/>
        <w:rPr>
          <w:kern w:val="0"/>
          <w:sz w:val="20"/>
          <w:szCs w:val="20"/>
          <w:highlight w:val="none"/>
        </w:rPr>
        <w:sectPr>
          <w:pgSz w:w="11906" w:h="16838"/>
          <w:pgMar w:top="1052" w:right="1134" w:bottom="1440" w:left="1418" w:header="1134" w:footer="1134" w:gutter="0"/>
          <w:pgNumType w:fmt="upperRoman"/>
          <w:cols w:space="425" w:num="1"/>
          <w:formProt w:val="0"/>
          <w:titlePg/>
          <w:docGrid w:type="linesAndChars" w:linePitch="312" w:charSpace="0"/>
        </w:sectPr>
      </w:pPr>
    </w:p>
    <w:p w14:paraId="79C39556">
      <w:pPr>
        <w:pStyle w:val="12"/>
        <w:bidi w:val="0"/>
        <w:jc w:val="center"/>
        <w:rPr>
          <w:rFonts w:hint="eastAsia" w:ascii="Times New Roman" w:eastAsia="宋体"/>
          <w:b/>
          <w:bCs/>
          <w:highlight w:val="none"/>
          <w:lang w:eastAsia="zh-CN"/>
        </w:rPr>
      </w:pPr>
      <w:bookmarkStart w:id="2" w:name="OLE_LINK2"/>
      <w:r>
        <w:rPr>
          <w:rFonts w:hint="eastAsia"/>
          <w:b/>
          <w:bCs/>
          <w:lang w:val="en-US" w:eastAsia="zh-CN"/>
        </w:rPr>
        <w:t>温室气体 产品碳足迹量化方法与要求 建筑用墙面涂料</w:t>
      </w:r>
      <w:bookmarkEnd w:id="2"/>
    </w:p>
    <w:p w14:paraId="118445F7">
      <w:pPr>
        <w:pStyle w:val="50"/>
        <w:numPr>
          <w:ilvl w:val="0"/>
          <w:numId w:val="11"/>
        </w:numPr>
        <w:adjustRightInd w:val="0"/>
        <w:snapToGrid w:val="0"/>
        <w:spacing w:before="120" w:beforeLines="50" w:after="120" w:afterLines="50" w:line="360" w:lineRule="exact"/>
        <w:ind w:left="284" w:hanging="284"/>
        <w:outlineLvl w:val="0"/>
        <w:rPr>
          <w:rFonts w:ascii="黑体" w:hAnsi="黑体" w:eastAsia="黑体"/>
          <w:b w:val="0"/>
          <w:bCs w:val="0"/>
          <w:szCs w:val="21"/>
          <w:highlight w:val="none"/>
        </w:rPr>
      </w:pPr>
      <w:bookmarkStart w:id="3" w:name="_Toc13505"/>
      <w:bookmarkStart w:id="4" w:name="_Toc19125"/>
      <w:bookmarkStart w:id="5" w:name="_Toc3325"/>
      <w:r>
        <w:rPr>
          <w:rFonts w:ascii="黑体" w:hAnsi="黑体" w:eastAsia="黑体"/>
          <w:b w:val="0"/>
          <w:bCs w:val="0"/>
          <w:szCs w:val="21"/>
          <w:highlight w:val="none"/>
        </w:rPr>
        <w:t>范围</w:t>
      </w:r>
      <w:bookmarkEnd w:id="3"/>
      <w:bookmarkEnd w:id="4"/>
      <w:bookmarkEnd w:id="5"/>
    </w:p>
    <w:p w14:paraId="7B13AA24">
      <w:pPr>
        <w:pStyle w:val="27"/>
        <w:ind w:left="0" w:leftChars="0" w:firstLine="420" w:firstLineChars="200"/>
        <w:rPr>
          <w:rFonts w:hint="eastAsia" w:hAnsi="Times New Roman" w:eastAsia="宋体" w:cs="Times New Roman"/>
        </w:rPr>
      </w:pPr>
      <w:r>
        <w:rPr>
          <w:rFonts w:hint="eastAsia" w:hAnsi="Times New Roman" w:eastAsia="宋体" w:cs="Times New Roman"/>
          <w:lang w:val="en-US" w:eastAsia="zh-CN"/>
        </w:rPr>
        <w:t>本文件规定了建筑用墙面涂料</w:t>
      </w:r>
      <w:r>
        <w:rPr>
          <w:rFonts w:ascii="Times New Roman"/>
          <w:szCs w:val="21"/>
        </w:rPr>
        <w:t>产品碳足迹的量化目的、量化范围、清单分析、影响评价、结果解释、</w:t>
      </w:r>
      <w:r>
        <w:rPr>
          <w:rFonts w:hint="eastAsia" w:ascii="Times New Roman"/>
          <w:szCs w:val="21"/>
        </w:rPr>
        <w:t>鉴定性评审、</w:t>
      </w:r>
      <w:r>
        <w:rPr>
          <w:rFonts w:hint="eastAsia" w:ascii="Times New Roman"/>
          <w:szCs w:val="21"/>
          <w:lang w:val="en-US" w:eastAsia="zh-CN"/>
        </w:rPr>
        <w:t>可比性、</w:t>
      </w:r>
      <w:r>
        <w:rPr>
          <w:rFonts w:ascii="Times New Roman"/>
          <w:szCs w:val="21"/>
        </w:rPr>
        <w:t>绩效追踪以及报告等内容</w:t>
      </w:r>
      <w:r>
        <w:rPr>
          <w:rFonts w:hint="eastAsia" w:hAnsi="Times New Roman" w:eastAsia="宋体" w:cs="Times New Roman"/>
          <w:lang w:val="en-US" w:eastAsia="zh-CN"/>
        </w:rPr>
        <w:t xml:space="preserve">。 </w:t>
      </w:r>
    </w:p>
    <w:p w14:paraId="51CD4E95">
      <w:pPr>
        <w:pStyle w:val="27"/>
        <w:spacing w:line="276" w:lineRule="auto"/>
        <w:ind w:firstLineChars="0"/>
        <w:rPr>
          <w:rFonts w:ascii="Times New Roman"/>
          <w:szCs w:val="21"/>
          <w:highlight w:val="none"/>
        </w:rPr>
      </w:pPr>
      <w:r>
        <w:rPr>
          <w:rFonts w:hint="eastAsia" w:hAnsi="Times New Roman" w:eastAsia="宋体" w:cs="Times New Roman"/>
          <w:lang w:val="en-US" w:eastAsia="zh-CN"/>
        </w:rPr>
        <w:t>本文件适用于建筑用墙面涂料</w:t>
      </w:r>
      <w:r>
        <w:rPr>
          <w:rFonts w:ascii="Times New Roman"/>
          <w:szCs w:val="21"/>
        </w:rPr>
        <w:t>产品</w:t>
      </w:r>
      <w:r>
        <w:rPr>
          <w:rFonts w:hint="eastAsia" w:ascii="Times New Roman"/>
          <w:szCs w:val="21"/>
          <w:lang w:val="en-US" w:eastAsia="zh-CN"/>
        </w:rPr>
        <w:t>的</w:t>
      </w:r>
      <w:r>
        <w:rPr>
          <w:rFonts w:ascii="Times New Roman"/>
          <w:szCs w:val="21"/>
        </w:rPr>
        <w:t>碳足迹</w:t>
      </w:r>
      <w:r>
        <w:rPr>
          <w:rFonts w:hint="eastAsia" w:ascii="Times New Roman"/>
          <w:szCs w:val="21"/>
        </w:rPr>
        <w:t>量化与评价</w:t>
      </w:r>
      <w:r>
        <w:rPr>
          <w:rFonts w:hint="eastAsia" w:hAnsi="Times New Roman" w:eastAsia="宋体" w:cs="Times New Roman"/>
          <w:lang w:val="en-US" w:eastAsia="zh-CN"/>
        </w:rPr>
        <w:t>。</w:t>
      </w:r>
    </w:p>
    <w:p w14:paraId="5CC6096A">
      <w:pPr>
        <w:pStyle w:val="50"/>
        <w:numPr>
          <w:ilvl w:val="0"/>
          <w:numId w:val="11"/>
        </w:numPr>
        <w:adjustRightInd w:val="0"/>
        <w:snapToGrid w:val="0"/>
        <w:spacing w:before="120" w:beforeLines="50" w:after="120" w:afterLines="50" w:line="360" w:lineRule="exact"/>
        <w:ind w:left="284" w:hanging="284"/>
        <w:outlineLvl w:val="0"/>
        <w:rPr>
          <w:rFonts w:ascii="黑体" w:hAnsi="黑体" w:eastAsia="黑体"/>
          <w:b w:val="0"/>
          <w:bCs w:val="0"/>
          <w:szCs w:val="21"/>
          <w:highlight w:val="none"/>
        </w:rPr>
      </w:pPr>
      <w:bookmarkStart w:id="6" w:name="_Toc21917"/>
      <w:bookmarkStart w:id="7" w:name="_Toc6539"/>
      <w:bookmarkStart w:id="8" w:name="_Toc25152"/>
      <w:r>
        <w:rPr>
          <w:rFonts w:ascii="黑体" w:hAnsi="黑体" w:eastAsia="黑体"/>
          <w:b w:val="0"/>
          <w:bCs w:val="0"/>
          <w:szCs w:val="21"/>
          <w:highlight w:val="none"/>
        </w:rPr>
        <w:t>规范性引用文件</w:t>
      </w:r>
      <w:bookmarkEnd w:id="6"/>
      <w:bookmarkEnd w:id="7"/>
      <w:bookmarkEnd w:id="8"/>
    </w:p>
    <w:p w14:paraId="3094C6F8">
      <w:pPr>
        <w:pStyle w:val="27"/>
        <w:spacing w:line="276" w:lineRule="auto"/>
        <w:ind w:firstLineChars="0"/>
        <w:rPr>
          <w:rFonts w:ascii="Times New Roman"/>
          <w:highlight w:val="none"/>
        </w:rPr>
      </w:pPr>
      <w:bookmarkStart w:id="9" w:name="_Toc384053574"/>
      <w:r>
        <w:rPr>
          <w:rFonts w:ascii="Times New Roman"/>
          <w:highlight w:val="none"/>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434AF99D">
      <w:pPr>
        <w:pStyle w:val="27"/>
        <w:spacing w:line="276" w:lineRule="auto"/>
        <w:ind w:firstLineChars="0"/>
        <w:rPr>
          <w:rFonts w:hint="eastAsia" w:ascii="Times New Roman" w:hAnsi="Times New Roman" w:eastAsia="宋体" w:cs="Times New Roman"/>
          <w:highlight w:val="none"/>
          <w:lang w:val="en-US" w:eastAsia="zh-CN"/>
        </w:rPr>
      </w:pPr>
      <w:r>
        <w:rPr>
          <w:rFonts w:hint="default" w:ascii="Times New Roman" w:hAnsi="Times New Roman" w:eastAsia="宋体" w:cs="Times New Roman"/>
          <w:highlight w:val="none"/>
          <w:lang w:eastAsia="zh-CN"/>
        </w:rPr>
        <w:t>GB/T 5206</w:t>
      </w:r>
      <w:r>
        <w:rPr>
          <w:rFonts w:hint="eastAsia" w:ascii="Times New Roman" w:hAnsi="Times New Roman" w:eastAsia="宋体" w:cs="Times New Roman"/>
          <w:highlight w:val="none"/>
          <w:lang w:val="en-US" w:eastAsia="zh-CN"/>
        </w:rPr>
        <w:t xml:space="preserve"> </w:t>
      </w:r>
      <w:r>
        <w:rPr>
          <w:rFonts w:hint="eastAsia" w:ascii="Times New Roman" w:hAnsi="Times New Roman" w:eastAsia="宋体" w:cs="Times New Roman"/>
          <w:highlight w:val="none"/>
          <w:lang w:eastAsia="zh-CN"/>
        </w:rPr>
        <w:t>色漆和清漆 术语和定义</w:t>
      </w:r>
    </w:p>
    <w:p w14:paraId="323B13B1">
      <w:pPr>
        <w:pStyle w:val="27"/>
        <w:spacing w:line="276" w:lineRule="auto"/>
        <w:ind w:firstLineChars="0"/>
        <w:rPr>
          <w:rFonts w:ascii="Times New Roman"/>
          <w:highlight w:val="none"/>
        </w:rPr>
      </w:pPr>
      <w:r>
        <w:rPr>
          <w:rFonts w:hint="eastAsia" w:ascii="Times New Roman"/>
          <w:highlight w:val="none"/>
          <w:lang w:eastAsia="zh-CN"/>
        </w:rPr>
        <w:t>GB/T 24067-</w:t>
      </w:r>
      <w:r>
        <w:rPr>
          <w:rFonts w:hint="eastAsia" w:ascii="Times New Roman"/>
          <w:highlight w:val="none"/>
          <w:lang w:val="en-US" w:eastAsia="zh-CN"/>
        </w:rPr>
        <w:t xml:space="preserve">2024 </w:t>
      </w:r>
      <w:r>
        <w:rPr>
          <w:rFonts w:ascii="Times New Roman"/>
          <w:highlight w:val="none"/>
        </w:rPr>
        <w:t>温室气体 产品碳足迹 量化要求和指南</w:t>
      </w:r>
    </w:p>
    <w:p w14:paraId="255E8690">
      <w:pPr>
        <w:pStyle w:val="27"/>
        <w:spacing w:line="276" w:lineRule="auto"/>
        <w:ind w:firstLineChars="0"/>
        <w:rPr>
          <w:rFonts w:hint="eastAsia" w:ascii="Times New Roman" w:eastAsia="宋体"/>
          <w:highlight w:val="none"/>
          <w:lang w:eastAsia="zh-CN"/>
        </w:rPr>
      </w:pPr>
      <w:r>
        <w:rPr>
          <w:rFonts w:ascii="Times New Roman"/>
          <w:highlight w:val="none"/>
        </w:rPr>
        <w:t>ISO 14071</w:t>
      </w:r>
      <w:r>
        <w:rPr>
          <w:rFonts w:hint="eastAsia"/>
          <w:lang w:val="en-US" w:eastAsia="zh-CN"/>
        </w:rPr>
        <w:t xml:space="preserve"> </w:t>
      </w:r>
      <w:r>
        <w:t>环境管理 生命周期评价 鉴定性评审过程和评审员能力</w:t>
      </w:r>
      <w:r>
        <w:rPr>
          <w:rFonts w:hint="eastAsia"/>
          <w:lang w:eastAsia="zh-CN"/>
        </w:rPr>
        <w:t>（</w:t>
      </w:r>
      <w:r>
        <w:rPr>
          <w:rFonts w:ascii="Times New Roman"/>
          <w:highlight w:val="none"/>
        </w:rPr>
        <w:t>Environmental management</w:t>
      </w:r>
      <w:r>
        <w:rPr>
          <w:rFonts w:hint="eastAsia" w:ascii="Times New Roman"/>
          <w:highlight w:val="none"/>
          <w:lang w:eastAsia="zh-CN"/>
        </w:rPr>
        <w:t>—</w:t>
      </w:r>
      <w:r>
        <w:rPr>
          <w:rFonts w:ascii="Times New Roman"/>
          <w:highlight w:val="none"/>
        </w:rPr>
        <w:t>Life cycle assessment</w:t>
      </w:r>
      <w:r>
        <w:rPr>
          <w:rFonts w:hint="eastAsia" w:ascii="Times New Roman"/>
          <w:highlight w:val="none"/>
          <w:lang w:eastAsia="zh-CN"/>
        </w:rPr>
        <w:t>—</w:t>
      </w:r>
      <w:r>
        <w:rPr>
          <w:rFonts w:ascii="Times New Roman"/>
          <w:highlight w:val="none"/>
        </w:rPr>
        <w:t>Critical review processes and reviewer</w:t>
      </w:r>
      <w:r>
        <w:rPr>
          <w:rFonts w:hint="eastAsia" w:ascii="Times New Roman"/>
          <w:highlight w:val="none"/>
        </w:rPr>
        <w:t xml:space="preserve"> </w:t>
      </w:r>
      <w:r>
        <w:rPr>
          <w:rFonts w:ascii="Times New Roman"/>
          <w:highlight w:val="none"/>
        </w:rPr>
        <w:t>competencies</w:t>
      </w:r>
      <w:r>
        <w:rPr>
          <w:rFonts w:hint="eastAsia" w:ascii="Times New Roman"/>
          <w:highlight w:val="none"/>
          <w:lang w:eastAsia="zh-CN"/>
        </w:rPr>
        <w:t>）</w:t>
      </w:r>
    </w:p>
    <w:p w14:paraId="638BBB19">
      <w:pPr>
        <w:pStyle w:val="50"/>
        <w:numPr>
          <w:ilvl w:val="0"/>
          <w:numId w:val="11"/>
        </w:numPr>
        <w:adjustRightInd w:val="0"/>
        <w:snapToGrid w:val="0"/>
        <w:spacing w:before="120" w:beforeLines="50" w:after="120" w:afterLines="50" w:line="360" w:lineRule="exact"/>
        <w:ind w:left="284" w:hanging="284"/>
        <w:outlineLvl w:val="0"/>
        <w:rPr>
          <w:rFonts w:ascii="黑体" w:hAnsi="黑体" w:eastAsia="黑体"/>
          <w:b w:val="0"/>
          <w:bCs w:val="0"/>
          <w:szCs w:val="21"/>
          <w:highlight w:val="none"/>
        </w:rPr>
      </w:pPr>
      <w:bookmarkStart w:id="10" w:name="_Toc7054"/>
      <w:bookmarkStart w:id="11" w:name="_Toc26335"/>
      <w:bookmarkStart w:id="12" w:name="_Toc3640"/>
      <w:r>
        <w:rPr>
          <w:rFonts w:ascii="黑体" w:hAnsi="黑体" w:eastAsia="黑体"/>
          <w:b w:val="0"/>
          <w:bCs w:val="0"/>
          <w:szCs w:val="21"/>
          <w:highlight w:val="none"/>
        </w:rPr>
        <w:t>术语</w:t>
      </w:r>
      <w:bookmarkEnd w:id="9"/>
      <w:r>
        <w:rPr>
          <w:rFonts w:ascii="黑体" w:hAnsi="黑体" w:eastAsia="黑体"/>
          <w:b w:val="0"/>
          <w:bCs w:val="0"/>
          <w:szCs w:val="21"/>
          <w:highlight w:val="none"/>
        </w:rPr>
        <w:t>和定义</w:t>
      </w:r>
      <w:bookmarkEnd w:id="10"/>
      <w:bookmarkEnd w:id="11"/>
      <w:bookmarkEnd w:id="12"/>
    </w:p>
    <w:p w14:paraId="5DFF0D2C">
      <w:pPr>
        <w:pStyle w:val="27"/>
        <w:spacing w:line="276" w:lineRule="auto"/>
        <w:ind w:left="0" w:leftChars="0" w:firstLine="0" w:firstLineChars="0"/>
        <w:rPr>
          <w:sz w:val="21"/>
          <w:szCs w:val="21"/>
        </w:rPr>
      </w:pPr>
      <w:r>
        <w:rPr>
          <w:rFonts w:hint="default" w:ascii="黑体" w:hAnsi="黑体" w:eastAsia="黑体" w:cs="Times New Roman"/>
          <w:color w:val="000000"/>
          <w:sz w:val="21"/>
          <w:szCs w:val="21"/>
          <w:lang w:val="en-US" w:eastAsia="zh-CN" w:bidi="ar-SA"/>
        </w:rPr>
        <w:t>3.1</w:t>
      </w:r>
      <w:r>
        <w:rPr>
          <w:rFonts w:hint="default" w:ascii="Times New Roman" w:hAnsi="Times New Roman" w:eastAsia="宋体" w:cs="Times New Roman"/>
          <w:color w:val="000000"/>
          <w:kern w:val="0"/>
          <w:sz w:val="21"/>
          <w:szCs w:val="21"/>
          <w:lang w:val="en-US" w:eastAsia="zh-CN" w:bidi="ar"/>
        </w:rPr>
        <w:t xml:space="preserve"> </w:t>
      </w:r>
    </w:p>
    <w:p w14:paraId="1769DB15">
      <w:pPr>
        <w:keepNext w:val="0"/>
        <w:keepLines w:val="0"/>
        <w:widowControl/>
        <w:suppressLineNumbers w:val="0"/>
        <w:ind w:left="420" w:leftChars="200" w:firstLine="0" w:firstLineChars="0"/>
        <w:jc w:val="left"/>
        <w:rPr>
          <w:rFonts w:hint="eastAsia" w:ascii="黑体" w:hAnsi="宋体" w:eastAsia="黑体" w:cs="黑体"/>
          <w:color w:val="000000"/>
          <w:kern w:val="0"/>
          <w:sz w:val="21"/>
          <w:szCs w:val="21"/>
          <w:highlight w:val="none"/>
          <w:lang w:val="en-US" w:eastAsia="zh-CN" w:bidi="ar"/>
        </w:rPr>
      </w:pPr>
      <w:r>
        <w:rPr>
          <w:rFonts w:hint="eastAsia" w:ascii="黑体" w:hAnsi="宋体" w:eastAsia="黑体" w:cs="黑体"/>
          <w:color w:val="000000"/>
          <w:kern w:val="0"/>
          <w:sz w:val="21"/>
          <w:szCs w:val="21"/>
          <w:highlight w:val="none"/>
          <w:lang w:val="en-US" w:eastAsia="zh-CN" w:bidi="ar"/>
        </w:rPr>
        <w:t xml:space="preserve">温室气体 </w:t>
      </w:r>
      <w:r>
        <w:rPr>
          <w:rFonts w:hint="eastAsia" w:ascii="Times New Roman" w:hAnsi="Times New Roman" w:eastAsia="宋体" w:cs="Times New Roman"/>
          <w:color w:val="000000"/>
          <w:kern w:val="0"/>
          <w:sz w:val="21"/>
          <w:szCs w:val="21"/>
          <w:highlight w:val="none"/>
          <w:lang w:val="en-US" w:eastAsia="zh-CN" w:bidi="ar"/>
        </w:rPr>
        <w:t>greenhouse gas；</w:t>
      </w:r>
      <w:r>
        <w:rPr>
          <w:rFonts w:hint="eastAsia" w:ascii="黑体" w:hAnsi="宋体" w:eastAsia="黑体" w:cs="黑体"/>
          <w:color w:val="000000"/>
          <w:kern w:val="0"/>
          <w:sz w:val="21"/>
          <w:szCs w:val="21"/>
          <w:highlight w:val="none"/>
          <w:lang w:val="en-US" w:eastAsia="zh-CN" w:bidi="ar"/>
        </w:rPr>
        <w:t>GHG</w:t>
      </w:r>
    </w:p>
    <w:p w14:paraId="4EF2BB56">
      <w:pPr>
        <w:keepNext w:val="0"/>
        <w:keepLines w:val="0"/>
        <w:widowControl/>
        <w:suppressLineNumbers w:val="0"/>
        <w:ind w:firstLine="420" w:firstLineChars="200"/>
        <w:jc w:val="lef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大气层中自然存在的和由于人类活动产生的能够吸收和散发由地球表面、大气层和云层所产生的、波长在红外光谱内的辐射的气态成分。</w:t>
      </w:r>
    </w:p>
    <w:p w14:paraId="71386ED9">
      <w:pPr>
        <w:pStyle w:val="27"/>
        <w:spacing w:line="276" w:lineRule="auto"/>
        <w:ind w:left="840" w:leftChars="200" w:hanging="420" w:firstLineChars="0"/>
        <w:rPr>
          <w:rFonts w:ascii="Times New Roman"/>
          <w:szCs w:val="21"/>
        </w:rPr>
      </w:pPr>
      <w:r>
        <w:rPr>
          <w:rFonts w:ascii="Times New Roman" w:eastAsia="黑体"/>
          <w:szCs w:val="21"/>
        </w:rPr>
        <w:t>注：</w:t>
      </w:r>
      <w:r>
        <w:rPr>
          <w:rFonts w:ascii="Times New Roman"/>
          <w:szCs w:val="21"/>
        </w:rPr>
        <w:t>本文件涉及的温室气体包括二氧化碳（CO</w:t>
      </w:r>
      <w:r>
        <w:rPr>
          <w:rFonts w:ascii="Times New Roman"/>
          <w:szCs w:val="21"/>
          <w:vertAlign w:val="subscript"/>
        </w:rPr>
        <w:t>2</w:t>
      </w:r>
      <w:r>
        <w:rPr>
          <w:rFonts w:ascii="Times New Roman"/>
          <w:szCs w:val="21"/>
        </w:rPr>
        <w:t>）、甲烷（CH</w:t>
      </w:r>
      <w:r>
        <w:rPr>
          <w:rFonts w:ascii="Times New Roman"/>
          <w:szCs w:val="21"/>
          <w:vertAlign w:val="subscript"/>
        </w:rPr>
        <w:t>4</w:t>
      </w:r>
      <w:r>
        <w:rPr>
          <w:rFonts w:ascii="Times New Roman"/>
          <w:szCs w:val="21"/>
        </w:rPr>
        <w:t>）、氧化亚氮（N</w:t>
      </w:r>
      <w:r>
        <w:rPr>
          <w:rFonts w:ascii="Times New Roman"/>
          <w:szCs w:val="21"/>
          <w:vertAlign w:val="subscript"/>
        </w:rPr>
        <w:t>2</w:t>
      </w:r>
      <w:r>
        <w:rPr>
          <w:rFonts w:ascii="Times New Roman"/>
          <w:szCs w:val="21"/>
        </w:rPr>
        <w:t>O）、氢氟碳化物（HFCs）、全氟碳化物（PFCs）、六氟化硫（SF</w:t>
      </w:r>
      <w:r>
        <w:rPr>
          <w:rFonts w:ascii="Times New Roman"/>
          <w:szCs w:val="21"/>
          <w:vertAlign w:val="subscript"/>
        </w:rPr>
        <w:t>6</w:t>
      </w:r>
      <w:r>
        <w:rPr>
          <w:rFonts w:ascii="Times New Roman"/>
          <w:szCs w:val="21"/>
        </w:rPr>
        <w:t>）和三氟化氮（NF</w:t>
      </w:r>
      <w:r>
        <w:rPr>
          <w:rFonts w:ascii="Times New Roman"/>
          <w:szCs w:val="21"/>
          <w:vertAlign w:val="subscript"/>
        </w:rPr>
        <w:t>3</w:t>
      </w:r>
      <w:r>
        <w:rPr>
          <w:rFonts w:ascii="Times New Roman"/>
          <w:szCs w:val="21"/>
        </w:rPr>
        <w:t>）。</w:t>
      </w:r>
    </w:p>
    <w:p w14:paraId="33C50155">
      <w:pPr>
        <w:keepNext w:val="0"/>
        <w:keepLines w:val="0"/>
        <w:widowControl/>
        <w:suppressLineNumbers w:val="0"/>
        <w:ind w:firstLine="420" w:firstLineChars="200"/>
        <w:jc w:val="left"/>
        <w:rPr>
          <w:rFonts w:hint="default" w:ascii="Times New Roman" w:hAnsi="Times New Roman" w:eastAsia="宋体" w:cs="Times New Roman"/>
          <w:color w:val="000000"/>
          <w:kern w:val="0"/>
          <w:sz w:val="21"/>
          <w:szCs w:val="21"/>
          <w:lang w:val="en-US" w:eastAsia="zh-CN" w:bidi="ar"/>
        </w:rPr>
      </w:pPr>
      <w:r>
        <w:rPr>
          <w:rFonts w:ascii="Times New Roman"/>
          <w:szCs w:val="21"/>
        </w:rPr>
        <w:t>[来源：</w:t>
      </w:r>
      <w:r>
        <w:rPr>
          <w:rFonts w:hint="eastAsia" w:ascii="Times New Roman"/>
          <w:szCs w:val="21"/>
        </w:rPr>
        <w:t>GB/T 24067</w:t>
      </w:r>
      <w:r>
        <w:rPr>
          <w:rFonts w:hint="eastAsia" w:ascii="Times New Roman"/>
          <w:szCs w:val="21"/>
          <w:lang w:val="en-US" w:eastAsia="zh-CN"/>
        </w:rPr>
        <w:t>-</w:t>
      </w:r>
      <w:r>
        <w:rPr>
          <w:rFonts w:hint="eastAsia" w:ascii="Times New Roman"/>
          <w:szCs w:val="21"/>
        </w:rPr>
        <w:t>2024</w:t>
      </w:r>
      <w:r>
        <w:rPr>
          <w:rFonts w:ascii="Times New Roman"/>
          <w:color w:val="000000"/>
        </w:rPr>
        <w:t>，3.</w:t>
      </w:r>
      <w:r>
        <w:rPr>
          <w:rFonts w:hint="eastAsia" w:ascii="Times New Roman"/>
          <w:color w:val="000000"/>
        </w:rPr>
        <w:t>2</w:t>
      </w:r>
      <w:r>
        <w:rPr>
          <w:rFonts w:ascii="Times New Roman"/>
          <w:color w:val="000000"/>
        </w:rPr>
        <w:t>.1</w:t>
      </w:r>
      <w:r>
        <w:rPr>
          <w:rFonts w:ascii="Times New Roman"/>
          <w:szCs w:val="21"/>
        </w:rPr>
        <w:t>]</w:t>
      </w:r>
    </w:p>
    <w:p w14:paraId="205CF535">
      <w:pPr>
        <w:pStyle w:val="27"/>
        <w:spacing w:line="276" w:lineRule="auto"/>
        <w:ind w:left="0" w:leftChars="0" w:firstLine="0" w:firstLineChars="0"/>
        <w:rPr>
          <w:rFonts w:hint="default" w:ascii="黑体" w:hAnsi="黑体" w:eastAsia="黑体" w:cs="Times New Roman"/>
          <w:color w:val="000000"/>
          <w:sz w:val="21"/>
          <w:szCs w:val="21"/>
          <w:lang w:val="en-US" w:eastAsia="zh-CN" w:bidi="ar-SA"/>
        </w:rPr>
      </w:pPr>
      <w:r>
        <w:rPr>
          <w:rFonts w:hint="eastAsia" w:ascii="黑体" w:hAnsi="黑体" w:eastAsia="黑体" w:cs="Times New Roman"/>
          <w:color w:val="000000"/>
          <w:sz w:val="21"/>
          <w:szCs w:val="21"/>
          <w:lang w:val="en-US" w:eastAsia="zh-CN" w:bidi="ar-SA"/>
        </w:rPr>
        <w:t>3.2</w:t>
      </w:r>
    </w:p>
    <w:p w14:paraId="6DC3EB04">
      <w:pPr>
        <w:keepNext w:val="0"/>
        <w:keepLines w:val="0"/>
        <w:widowControl/>
        <w:suppressLineNumbers w:val="0"/>
        <w:ind w:left="420" w:leftChars="200" w:firstLine="0" w:firstLineChars="0"/>
        <w:jc w:val="left"/>
        <w:rPr>
          <w:rFonts w:hint="default" w:ascii="Times New Roman" w:hAnsi="Times New Roman" w:eastAsia="宋体" w:cs="Times New Roman"/>
          <w:color w:val="000000"/>
          <w:kern w:val="0"/>
          <w:sz w:val="21"/>
          <w:szCs w:val="21"/>
          <w:lang w:val="en-US" w:eastAsia="zh-CN" w:bidi="ar"/>
        </w:rPr>
      </w:pPr>
      <w:r>
        <w:rPr>
          <w:rFonts w:hint="eastAsia" w:ascii="黑体" w:hAnsi="宋体" w:eastAsia="黑体" w:cs="黑体"/>
          <w:color w:val="000000"/>
          <w:kern w:val="0"/>
          <w:sz w:val="21"/>
          <w:szCs w:val="21"/>
          <w:highlight w:val="none"/>
          <w:lang w:val="en-US" w:eastAsia="zh-CN" w:bidi="ar"/>
        </w:rPr>
        <w:t xml:space="preserve">产品碳足迹 </w:t>
      </w:r>
      <w:r>
        <w:rPr>
          <w:rFonts w:hint="eastAsia" w:ascii="Times New Roman" w:hAnsi="Times New Roman" w:eastAsia="宋体" w:cs="Times New Roman"/>
          <w:color w:val="000000"/>
          <w:kern w:val="0"/>
          <w:sz w:val="21"/>
          <w:szCs w:val="21"/>
          <w:lang w:val="en-US" w:eastAsia="zh-CN" w:bidi="ar"/>
        </w:rPr>
        <w:t>carbon footprint of a product；</w:t>
      </w:r>
      <w:r>
        <w:rPr>
          <w:rFonts w:hint="eastAsia" w:ascii="黑体" w:hAnsi="宋体" w:eastAsia="黑体" w:cs="黑体"/>
          <w:color w:val="000000"/>
          <w:kern w:val="0"/>
          <w:sz w:val="21"/>
          <w:szCs w:val="21"/>
          <w:highlight w:val="none"/>
          <w:lang w:val="en-US" w:eastAsia="zh-CN" w:bidi="ar"/>
        </w:rPr>
        <w:t>CFP</w:t>
      </w:r>
    </w:p>
    <w:p w14:paraId="33FC9C1E">
      <w:pPr>
        <w:pStyle w:val="27"/>
        <w:spacing w:line="276" w:lineRule="auto"/>
        <w:ind w:firstLineChars="0"/>
        <w:rPr>
          <w:rFonts w:ascii="Times New Roman"/>
          <w:szCs w:val="21"/>
        </w:rPr>
      </w:pPr>
      <w:r>
        <w:rPr>
          <w:rFonts w:ascii="Times New Roman"/>
          <w:szCs w:val="21"/>
        </w:rPr>
        <w:t>产品系统中的GHG排放量和GHG清除量之和，以二氧化碳当量表示，并基于气候变化这一单一环境影响类型进行生命周期评价。</w:t>
      </w:r>
    </w:p>
    <w:p w14:paraId="2E05053E">
      <w:pPr>
        <w:pStyle w:val="27"/>
        <w:spacing w:line="276" w:lineRule="auto"/>
        <w:ind w:left="840" w:leftChars="200" w:hanging="420" w:firstLineChars="0"/>
        <w:rPr>
          <w:rFonts w:ascii="Times New Roman" w:eastAsia="黑体"/>
          <w:szCs w:val="21"/>
        </w:rPr>
      </w:pPr>
      <w:r>
        <w:rPr>
          <w:rFonts w:ascii="Times New Roman" w:eastAsia="黑体"/>
          <w:szCs w:val="21"/>
        </w:rPr>
        <w:t>注1：</w:t>
      </w:r>
      <w:r>
        <w:rPr>
          <w:rFonts w:ascii="Times New Roman"/>
          <w:szCs w:val="21"/>
        </w:rPr>
        <w:t>产品碳足迹可用不同的图例区分和标示具体的GHG排放量和清除量，产品碳足迹也可被分解到其生命周期的各个阶段。</w:t>
      </w:r>
    </w:p>
    <w:p w14:paraId="5F65F41F">
      <w:pPr>
        <w:pStyle w:val="27"/>
        <w:spacing w:line="276" w:lineRule="auto"/>
        <w:ind w:left="840" w:leftChars="200" w:hanging="420" w:firstLineChars="0"/>
        <w:rPr>
          <w:rFonts w:ascii="Times New Roman" w:eastAsia="黑体"/>
          <w:szCs w:val="21"/>
        </w:rPr>
      </w:pPr>
      <w:r>
        <w:rPr>
          <w:rFonts w:ascii="Times New Roman" w:eastAsia="黑体"/>
          <w:szCs w:val="21"/>
        </w:rPr>
        <w:t>注2：</w:t>
      </w:r>
      <w:r>
        <w:rPr>
          <w:rFonts w:ascii="Times New Roman"/>
          <w:szCs w:val="21"/>
        </w:rPr>
        <w:t>产品碳足迹研究报告中记录了产品碳足迹的量化结果，以每个功能单位的二氧化碳当量表示。</w:t>
      </w:r>
    </w:p>
    <w:p w14:paraId="7241B5CD">
      <w:pPr>
        <w:pStyle w:val="27"/>
        <w:spacing w:line="276" w:lineRule="auto"/>
        <w:ind w:firstLineChars="0"/>
        <w:rPr>
          <w:rFonts w:ascii="Times New Roman"/>
          <w:color w:val="000000"/>
        </w:rPr>
      </w:pPr>
      <w:r>
        <w:rPr>
          <w:rFonts w:ascii="Times New Roman"/>
          <w:color w:val="000000"/>
        </w:rPr>
        <w:t>[来源：</w:t>
      </w:r>
      <w:r>
        <w:rPr>
          <w:rFonts w:hint="eastAsia" w:ascii="Times New Roman"/>
          <w:szCs w:val="21"/>
        </w:rPr>
        <w:t>GB/T 24067</w:t>
      </w:r>
      <w:r>
        <w:rPr>
          <w:rFonts w:hint="eastAsia" w:ascii="Times New Roman"/>
          <w:szCs w:val="21"/>
          <w:lang w:val="en-US" w:eastAsia="zh-CN"/>
        </w:rPr>
        <w:t>-</w:t>
      </w:r>
      <w:r>
        <w:rPr>
          <w:rFonts w:hint="eastAsia" w:ascii="Times New Roman"/>
          <w:szCs w:val="21"/>
        </w:rPr>
        <w:t>2024</w:t>
      </w:r>
      <w:r>
        <w:rPr>
          <w:rFonts w:ascii="Times New Roman"/>
          <w:color w:val="000000"/>
        </w:rPr>
        <w:t>，3.1.1]</w:t>
      </w:r>
    </w:p>
    <w:p w14:paraId="566EE666">
      <w:pPr>
        <w:pStyle w:val="27"/>
        <w:spacing w:line="276" w:lineRule="auto"/>
        <w:ind w:left="0" w:leftChars="0" w:firstLine="0" w:firstLineChars="0"/>
        <w:rPr>
          <w:rFonts w:hint="default" w:ascii="黑体" w:hAnsi="黑体" w:eastAsia="黑体" w:cs="Times New Roman"/>
          <w:color w:val="000000"/>
          <w:sz w:val="21"/>
          <w:szCs w:val="21"/>
          <w:lang w:val="en-US" w:eastAsia="zh-CN" w:bidi="ar-SA"/>
        </w:rPr>
      </w:pPr>
      <w:r>
        <w:rPr>
          <w:rFonts w:hint="eastAsia" w:ascii="黑体" w:hAnsi="黑体" w:eastAsia="黑体" w:cs="Times New Roman"/>
          <w:color w:val="000000"/>
          <w:sz w:val="21"/>
          <w:szCs w:val="21"/>
          <w:lang w:val="en-US" w:eastAsia="zh-CN" w:bidi="ar-SA"/>
        </w:rPr>
        <w:t>3.3</w:t>
      </w:r>
    </w:p>
    <w:p w14:paraId="0E229034">
      <w:pPr>
        <w:keepNext w:val="0"/>
        <w:keepLines w:val="0"/>
        <w:widowControl/>
        <w:suppressLineNumbers w:val="0"/>
        <w:ind w:left="420" w:leftChars="200" w:firstLine="0" w:firstLineChars="0"/>
        <w:jc w:val="left"/>
        <w:rPr>
          <w:rFonts w:hint="eastAsia" w:ascii="黑体" w:hAnsi="宋体" w:eastAsia="黑体" w:cs="黑体"/>
          <w:color w:val="000000"/>
          <w:kern w:val="0"/>
          <w:sz w:val="21"/>
          <w:szCs w:val="21"/>
          <w:highlight w:val="none"/>
          <w:lang w:val="en-US" w:eastAsia="zh-CN" w:bidi="ar"/>
        </w:rPr>
      </w:pPr>
      <w:r>
        <w:rPr>
          <w:rFonts w:hint="eastAsia" w:ascii="黑体" w:hAnsi="宋体" w:eastAsia="黑体" w:cs="黑体"/>
          <w:color w:val="000000"/>
          <w:kern w:val="0"/>
          <w:sz w:val="21"/>
          <w:szCs w:val="21"/>
          <w:highlight w:val="none"/>
          <w:lang w:val="en-US" w:eastAsia="zh-CN" w:bidi="ar"/>
        </w:rPr>
        <w:t xml:space="preserve">产品部分碳足迹 </w:t>
      </w:r>
      <w:r>
        <w:rPr>
          <w:rFonts w:hint="eastAsia" w:ascii="Times New Roman" w:hAnsi="Times New Roman" w:eastAsia="宋体" w:cs="Times New Roman"/>
          <w:color w:val="000000"/>
          <w:kern w:val="0"/>
          <w:sz w:val="21"/>
          <w:szCs w:val="21"/>
          <w:lang w:val="en-US" w:eastAsia="zh-CN" w:bidi="ar"/>
        </w:rPr>
        <w:t>partial carbon footprint of a product；partial</w:t>
      </w:r>
      <w:r>
        <w:rPr>
          <w:rFonts w:hint="eastAsia" w:ascii="黑体" w:hAnsi="宋体" w:eastAsia="黑体" w:cs="黑体"/>
          <w:color w:val="000000"/>
          <w:kern w:val="0"/>
          <w:sz w:val="21"/>
          <w:szCs w:val="21"/>
          <w:highlight w:val="none"/>
          <w:lang w:val="en-US" w:eastAsia="zh-CN" w:bidi="ar"/>
        </w:rPr>
        <w:t xml:space="preserve"> CFP</w:t>
      </w:r>
    </w:p>
    <w:p w14:paraId="2ECB668D">
      <w:pPr>
        <w:pStyle w:val="27"/>
        <w:spacing w:line="276" w:lineRule="auto"/>
        <w:ind w:firstLineChars="0"/>
        <w:rPr>
          <w:rFonts w:ascii="Times New Roman"/>
          <w:color w:val="000000"/>
        </w:rPr>
      </w:pPr>
      <w:r>
        <w:rPr>
          <w:rFonts w:ascii="Times New Roman"/>
          <w:color w:val="000000"/>
        </w:rPr>
        <w:t>在产品系统生命周期内的一个或多个选定阶段或过程中的GHG排放量和GHG清除量之和，并以二氧化碳当量表示。</w:t>
      </w:r>
    </w:p>
    <w:p w14:paraId="1C37BDE9">
      <w:pPr>
        <w:pStyle w:val="27"/>
        <w:spacing w:line="276" w:lineRule="auto"/>
        <w:ind w:left="840" w:leftChars="200" w:hanging="420" w:firstLineChars="0"/>
        <w:rPr>
          <w:rFonts w:ascii="Times New Roman" w:eastAsia="黑体"/>
          <w:szCs w:val="21"/>
        </w:rPr>
      </w:pPr>
      <w:r>
        <w:rPr>
          <w:rFonts w:ascii="Times New Roman" w:eastAsia="黑体"/>
          <w:szCs w:val="21"/>
        </w:rPr>
        <w:t>注1：</w:t>
      </w:r>
      <w:r>
        <w:rPr>
          <w:rFonts w:ascii="Times New Roman"/>
          <w:szCs w:val="21"/>
        </w:rPr>
        <w:t>产品部分碳足迹是基于或由与特定过程或足迹信息模型有关的数据汇集而成，这些数据是产品系统的一部分，可作为产品碳足迹量化的基础。</w:t>
      </w:r>
    </w:p>
    <w:p w14:paraId="0030C373">
      <w:pPr>
        <w:pStyle w:val="27"/>
        <w:spacing w:line="276" w:lineRule="auto"/>
        <w:ind w:left="840" w:leftChars="200" w:hanging="420" w:firstLineChars="0"/>
        <w:rPr>
          <w:rFonts w:ascii="Times New Roman" w:eastAsia="黑体"/>
          <w:szCs w:val="21"/>
        </w:rPr>
      </w:pPr>
      <w:r>
        <w:rPr>
          <w:rFonts w:ascii="Times New Roman" w:eastAsia="黑体"/>
          <w:szCs w:val="21"/>
        </w:rPr>
        <w:t>注2：“</w:t>
      </w:r>
      <w:r>
        <w:rPr>
          <w:rFonts w:ascii="Times New Roman"/>
          <w:szCs w:val="21"/>
        </w:rPr>
        <w:t>足迹信息模型”的定义请参见 ISO 14026:2017，3.1.4。</w:t>
      </w:r>
    </w:p>
    <w:p w14:paraId="6EAAEA91">
      <w:pPr>
        <w:pStyle w:val="27"/>
        <w:spacing w:line="276" w:lineRule="auto"/>
        <w:ind w:left="840" w:leftChars="200" w:hanging="420" w:firstLineChars="0"/>
        <w:rPr>
          <w:rFonts w:ascii="Times New Roman"/>
          <w:szCs w:val="21"/>
        </w:rPr>
      </w:pPr>
      <w:r>
        <w:rPr>
          <w:rFonts w:ascii="Times New Roman" w:eastAsia="黑体"/>
          <w:szCs w:val="21"/>
        </w:rPr>
        <w:t>注3：</w:t>
      </w:r>
      <w:r>
        <w:rPr>
          <w:rFonts w:ascii="Times New Roman"/>
          <w:szCs w:val="21"/>
        </w:rPr>
        <w:t>产品碳足迹研究报告中记录了产品部分碳足迹的量化结果，以每个声明单位的二氧化碳当量表示。</w:t>
      </w:r>
    </w:p>
    <w:p w14:paraId="2C677579">
      <w:pPr>
        <w:pStyle w:val="27"/>
        <w:spacing w:line="276" w:lineRule="auto"/>
        <w:ind w:left="840" w:leftChars="200" w:hanging="420" w:firstLineChars="0"/>
        <w:rPr>
          <w:rFonts w:ascii="Times New Roman"/>
          <w:szCs w:val="21"/>
        </w:rPr>
      </w:pPr>
      <w:r>
        <w:rPr>
          <w:rFonts w:ascii="Times New Roman"/>
          <w:color w:val="000000"/>
        </w:rPr>
        <w:t>[来源：</w:t>
      </w:r>
      <w:r>
        <w:rPr>
          <w:rFonts w:hint="eastAsia" w:ascii="Times New Roman"/>
          <w:szCs w:val="21"/>
        </w:rPr>
        <w:t>GB/T 24067</w:t>
      </w:r>
      <w:r>
        <w:rPr>
          <w:rFonts w:hint="eastAsia" w:ascii="Times New Roman"/>
          <w:szCs w:val="21"/>
          <w:lang w:val="en-US" w:eastAsia="zh-CN"/>
        </w:rPr>
        <w:t>-</w:t>
      </w:r>
      <w:r>
        <w:rPr>
          <w:rFonts w:hint="eastAsia" w:ascii="Times New Roman"/>
          <w:szCs w:val="21"/>
        </w:rPr>
        <w:t>2024</w:t>
      </w:r>
      <w:r>
        <w:rPr>
          <w:rFonts w:ascii="Times New Roman"/>
          <w:color w:val="000000"/>
        </w:rPr>
        <w:t>，3.1.2]</w:t>
      </w:r>
    </w:p>
    <w:p w14:paraId="45BCAEC8">
      <w:pPr>
        <w:pStyle w:val="27"/>
        <w:spacing w:line="276" w:lineRule="auto"/>
        <w:ind w:left="0" w:leftChars="0" w:firstLine="0" w:firstLineChars="0"/>
        <w:rPr>
          <w:rFonts w:hint="eastAsia" w:ascii="黑体" w:hAnsi="黑体" w:eastAsia="黑体" w:cs="Times New Roman"/>
          <w:color w:val="000000"/>
          <w:sz w:val="21"/>
          <w:szCs w:val="21"/>
          <w:lang w:val="en-US" w:eastAsia="zh-CN" w:bidi="ar-SA"/>
        </w:rPr>
      </w:pPr>
      <w:r>
        <w:rPr>
          <w:rFonts w:hint="default" w:ascii="黑体" w:hAnsi="黑体" w:eastAsia="黑体" w:cs="Times New Roman"/>
          <w:color w:val="000000"/>
          <w:sz w:val="21"/>
          <w:szCs w:val="21"/>
          <w:lang w:val="en-US" w:eastAsia="zh-CN" w:bidi="ar-SA"/>
        </w:rPr>
        <w:t>3.</w:t>
      </w:r>
      <w:r>
        <w:rPr>
          <w:rFonts w:hint="eastAsia" w:ascii="黑体" w:hAnsi="黑体" w:eastAsia="黑体" w:cs="Times New Roman"/>
          <w:color w:val="000000"/>
          <w:sz w:val="21"/>
          <w:szCs w:val="21"/>
          <w:lang w:val="en-US" w:eastAsia="zh-CN" w:bidi="ar-SA"/>
        </w:rPr>
        <w:t>4</w:t>
      </w:r>
      <w:r>
        <w:rPr>
          <w:rFonts w:hint="default" w:ascii="黑体" w:hAnsi="黑体" w:eastAsia="黑体" w:cs="Times New Roman"/>
          <w:color w:val="000000"/>
          <w:sz w:val="21"/>
          <w:szCs w:val="21"/>
          <w:lang w:val="en-US" w:eastAsia="zh-CN" w:bidi="ar-SA"/>
        </w:rPr>
        <w:t xml:space="preserve"> </w:t>
      </w:r>
    </w:p>
    <w:p w14:paraId="338A3902">
      <w:pPr>
        <w:keepNext w:val="0"/>
        <w:keepLines w:val="0"/>
        <w:widowControl/>
        <w:suppressLineNumbers w:val="0"/>
        <w:ind w:left="420" w:leftChars="200" w:firstLine="0" w:firstLineChars="0"/>
        <w:jc w:val="left"/>
        <w:rPr>
          <w:rFonts w:hint="eastAsia" w:ascii="黑体" w:hAnsi="宋体" w:eastAsia="黑体" w:cs="黑体"/>
          <w:color w:val="000000"/>
          <w:kern w:val="0"/>
          <w:sz w:val="21"/>
          <w:szCs w:val="21"/>
          <w:highlight w:val="none"/>
          <w:lang w:val="en-US" w:eastAsia="zh-CN" w:bidi="ar"/>
        </w:rPr>
      </w:pPr>
      <w:r>
        <w:rPr>
          <w:rFonts w:hint="eastAsia" w:ascii="黑体" w:hAnsi="宋体" w:eastAsia="黑体" w:cs="黑体"/>
          <w:color w:val="000000"/>
          <w:kern w:val="0"/>
          <w:sz w:val="21"/>
          <w:szCs w:val="21"/>
          <w:highlight w:val="none"/>
          <w:lang w:val="en-US" w:eastAsia="zh-CN" w:bidi="ar"/>
        </w:rPr>
        <w:t xml:space="preserve">产品碳足迹绩效追踪 </w:t>
      </w:r>
      <w:r>
        <w:rPr>
          <w:rFonts w:hint="default" w:ascii="Times New Roman" w:hAnsi="Times New Roman" w:eastAsia="宋体" w:cs="Times New Roman"/>
          <w:color w:val="000000"/>
          <w:kern w:val="0"/>
          <w:sz w:val="21"/>
          <w:szCs w:val="21"/>
          <w:lang w:val="en-US" w:eastAsia="zh-CN" w:bidi="ar"/>
        </w:rPr>
        <w:t>carbon footprint of a product performance tracking</w:t>
      </w:r>
      <w:r>
        <w:rPr>
          <w:rFonts w:hint="eastAsia" w:ascii="Times New Roman" w:hAnsi="Times New Roman" w:eastAsia="宋体" w:cs="Times New Roman"/>
          <w:color w:val="000000"/>
          <w:kern w:val="0"/>
          <w:sz w:val="21"/>
          <w:szCs w:val="21"/>
          <w:lang w:val="en-US" w:eastAsia="zh-CN" w:bidi="ar"/>
        </w:rPr>
        <w:t>；</w:t>
      </w:r>
      <w:r>
        <w:rPr>
          <w:rFonts w:hint="eastAsia" w:ascii="黑体" w:hAnsi="宋体" w:eastAsia="黑体" w:cs="黑体"/>
          <w:color w:val="000000"/>
          <w:kern w:val="0"/>
          <w:sz w:val="21"/>
          <w:szCs w:val="21"/>
          <w:highlight w:val="none"/>
          <w:lang w:val="en-US" w:eastAsia="zh-CN" w:bidi="ar"/>
        </w:rPr>
        <w:t xml:space="preserve">CFP </w:t>
      </w:r>
      <w:r>
        <w:rPr>
          <w:rFonts w:hint="eastAsia" w:ascii="Times New Roman" w:hAnsi="Times New Roman" w:eastAsia="宋体" w:cs="Times New Roman"/>
          <w:color w:val="000000"/>
          <w:kern w:val="0"/>
          <w:sz w:val="21"/>
          <w:szCs w:val="21"/>
          <w:lang w:val="en-US" w:eastAsia="zh-CN" w:bidi="ar"/>
        </w:rPr>
        <w:t>performance tracking</w:t>
      </w:r>
    </w:p>
    <w:p w14:paraId="31ED5B44">
      <w:pPr>
        <w:pStyle w:val="27"/>
        <w:spacing w:line="276" w:lineRule="auto"/>
        <w:rPr>
          <w:rFonts w:ascii="Times New Roman"/>
          <w:szCs w:val="21"/>
        </w:rPr>
      </w:pPr>
      <w:r>
        <w:rPr>
          <w:rFonts w:ascii="Times New Roman"/>
          <w:szCs w:val="21"/>
        </w:rPr>
        <w:t>比较同一组织的一个特定产品在一段时间内的产品碳足迹或产品部分碳足迹。</w:t>
      </w:r>
    </w:p>
    <w:p w14:paraId="2E412BE7">
      <w:pPr>
        <w:pStyle w:val="27"/>
        <w:spacing w:line="276" w:lineRule="auto"/>
        <w:ind w:left="840" w:leftChars="200" w:hanging="420" w:firstLineChars="0"/>
        <w:rPr>
          <w:rFonts w:ascii="Times New Roman" w:eastAsia="黑体"/>
          <w:szCs w:val="21"/>
        </w:rPr>
      </w:pPr>
      <w:r>
        <w:rPr>
          <w:rFonts w:ascii="Times New Roman" w:eastAsia="黑体"/>
          <w:szCs w:val="21"/>
        </w:rPr>
        <w:t>注：</w:t>
      </w:r>
      <w:r>
        <w:rPr>
          <w:rFonts w:ascii="Times New Roman"/>
          <w:szCs w:val="21"/>
        </w:rPr>
        <w:t>包括计算一个特定产品碳足迹在一段时间内的变化，或具有相同功能单位或声明单位的替代产品之间产品碳足迹在一段时间内的变化。</w:t>
      </w:r>
    </w:p>
    <w:p w14:paraId="32B0B604">
      <w:pPr>
        <w:pStyle w:val="27"/>
        <w:spacing w:line="276" w:lineRule="auto"/>
        <w:rPr>
          <w:sz w:val="21"/>
          <w:szCs w:val="21"/>
        </w:rPr>
      </w:pPr>
      <w:r>
        <w:rPr>
          <w:rFonts w:ascii="Times New Roman"/>
          <w:szCs w:val="21"/>
        </w:rPr>
        <w:t>[来源：</w:t>
      </w:r>
      <w:r>
        <w:rPr>
          <w:rFonts w:hint="eastAsia" w:ascii="Times New Roman"/>
          <w:szCs w:val="21"/>
        </w:rPr>
        <w:t>GB/T 24067</w:t>
      </w:r>
      <w:r>
        <w:rPr>
          <w:rFonts w:hint="eastAsia" w:ascii="Times New Roman"/>
          <w:szCs w:val="21"/>
          <w:lang w:val="en-US" w:eastAsia="zh-CN"/>
        </w:rPr>
        <w:t>-</w:t>
      </w:r>
      <w:r>
        <w:rPr>
          <w:rFonts w:hint="eastAsia" w:ascii="Times New Roman"/>
          <w:szCs w:val="21"/>
        </w:rPr>
        <w:t>2024</w:t>
      </w:r>
      <w:r>
        <w:rPr>
          <w:rFonts w:ascii="Times New Roman"/>
          <w:color w:val="000000"/>
        </w:rPr>
        <w:t>，3.1.11</w:t>
      </w:r>
      <w:r>
        <w:rPr>
          <w:rFonts w:ascii="Times New Roman"/>
          <w:szCs w:val="21"/>
        </w:rPr>
        <w:t>]</w:t>
      </w:r>
      <w:r>
        <w:rPr>
          <w:rFonts w:hint="default" w:ascii="Times New Roman" w:hAnsi="Times New Roman" w:eastAsia="宋体" w:cs="Times New Roman"/>
          <w:color w:val="000000"/>
          <w:kern w:val="0"/>
          <w:sz w:val="21"/>
          <w:szCs w:val="21"/>
          <w:lang w:val="en-US" w:eastAsia="zh-CN" w:bidi="ar"/>
        </w:rPr>
        <w:t xml:space="preserve"> </w:t>
      </w:r>
    </w:p>
    <w:p w14:paraId="0C1B732F">
      <w:pPr>
        <w:keepNext w:val="0"/>
        <w:keepLines w:val="0"/>
        <w:widowControl/>
        <w:suppressLineNumbers w:val="0"/>
        <w:jc w:val="left"/>
        <w:rPr>
          <w:rFonts w:hint="default" w:ascii="黑体" w:hAnsi="黑体" w:eastAsia="黑体" w:cs="Times New Roman"/>
          <w:color w:val="000000"/>
          <w:kern w:val="0"/>
          <w:sz w:val="21"/>
          <w:szCs w:val="21"/>
          <w:lang w:val="en-US" w:eastAsia="zh-CN" w:bidi="ar-SA"/>
        </w:rPr>
      </w:pPr>
      <w:r>
        <w:rPr>
          <w:rFonts w:hint="default" w:ascii="黑体" w:hAnsi="黑体" w:eastAsia="黑体" w:cs="Times New Roman"/>
          <w:color w:val="000000"/>
          <w:kern w:val="0"/>
          <w:sz w:val="21"/>
          <w:szCs w:val="21"/>
          <w:lang w:val="en-US" w:eastAsia="zh-CN" w:bidi="ar-SA"/>
        </w:rPr>
        <w:t>3.</w:t>
      </w:r>
      <w:r>
        <w:rPr>
          <w:rFonts w:hint="eastAsia" w:ascii="黑体" w:hAnsi="黑体" w:eastAsia="黑体" w:cs="Times New Roman"/>
          <w:color w:val="000000"/>
          <w:kern w:val="0"/>
          <w:sz w:val="21"/>
          <w:szCs w:val="21"/>
          <w:lang w:val="en-US" w:eastAsia="zh-CN" w:bidi="ar-SA"/>
        </w:rPr>
        <w:t>5</w:t>
      </w:r>
      <w:r>
        <w:rPr>
          <w:rFonts w:hint="default" w:ascii="黑体" w:hAnsi="黑体" w:eastAsia="黑体" w:cs="Times New Roman"/>
          <w:color w:val="000000"/>
          <w:kern w:val="0"/>
          <w:sz w:val="21"/>
          <w:szCs w:val="21"/>
          <w:lang w:val="en-US" w:eastAsia="zh-CN" w:bidi="ar-SA"/>
        </w:rPr>
        <w:t xml:space="preserve"> </w:t>
      </w:r>
    </w:p>
    <w:p w14:paraId="5DA45C62">
      <w:pPr>
        <w:keepNext w:val="0"/>
        <w:keepLines w:val="0"/>
        <w:widowControl/>
        <w:suppressLineNumbers w:val="0"/>
        <w:ind w:left="420" w:leftChars="200" w:firstLine="0" w:firstLineChars="0"/>
        <w:jc w:val="left"/>
        <w:rPr>
          <w:rFonts w:hint="eastAsia" w:ascii="黑体" w:hAnsi="宋体" w:eastAsia="黑体" w:cs="黑体"/>
          <w:color w:val="000000"/>
          <w:kern w:val="0"/>
          <w:sz w:val="21"/>
          <w:szCs w:val="21"/>
          <w:highlight w:val="none"/>
          <w:lang w:val="en-US" w:eastAsia="zh-CN" w:bidi="ar"/>
        </w:rPr>
      </w:pPr>
      <w:r>
        <w:rPr>
          <w:rFonts w:hint="eastAsia" w:ascii="黑体" w:hAnsi="宋体" w:eastAsia="黑体" w:cs="黑体"/>
          <w:color w:val="000000"/>
          <w:kern w:val="0"/>
          <w:sz w:val="21"/>
          <w:szCs w:val="21"/>
          <w:highlight w:val="none"/>
          <w:lang w:val="en-US" w:eastAsia="zh-CN" w:bidi="ar"/>
        </w:rPr>
        <w:t xml:space="preserve">全球变暖潜势 </w:t>
      </w:r>
      <w:r>
        <w:rPr>
          <w:rFonts w:hint="eastAsia" w:ascii="Times New Roman" w:hAnsi="Times New Roman" w:eastAsia="宋体" w:cs="Times New Roman"/>
          <w:color w:val="000000"/>
          <w:kern w:val="0"/>
          <w:sz w:val="21"/>
          <w:szCs w:val="21"/>
          <w:lang w:val="en-US" w:eastAsia="zh-CN" w:bidi="ar"/>
        </w:rPr>
        <w:t>global warming potential；</w:t>
      </w:r>
      <w:r>
        <w:rPr>
          <w:rFonts w:hint="eastAsia" w:ascii="黑体" w:hAnsi="宋体" w:eastAsia="黑体" w:cs="黑体"/>
          <w:color w:val="000000"/>
          <w:kern w:val="0"/>
          <w:sz w:val="21"/>
          <w:szCs w:val="21"/>
          <w:highlight w:val="none"/>
          <w:lang w:val="en-US" w:eastAsia="zh-CN" w:bidi="ar"/>
        </w:rPr>
        <w:t>GWP</w:t>
      </w:r>
    </w:p>
    <w:p w14:paraId="0B6179F4">
      <w:pPr>
        <w:pStyle w:val="27"/>
        <w:spacing w:line="276" w:lineRule="auto"/>
        <w:rPr>
          <w:rFonts w:ascii="Times New Roman"/>
        </w:rPr>
      </w:pPr>
      <w:r>
        <w:rPr>
          <w:rFonts w:ascii="Times New Roman"/>
        </w:rPr>
        <w:t>将单位质量的某种温室气体在给定时间段内辐射强迫影响与等量二氧化碳辐射强迫影响相关联的系数。</w:t>
      </w:r>
    </w:p>
    <w:p w14:paraId="537EF58F">
      <w:pPr>
        <w:keepNext w:val="0"/>
        <w:keepLines w:val="0"/>
        <w:widowControl/>
        <w:suppressLineNumbers w:val="0"/>
        <w:ind w:firstLine="420" w:firstLineChars="200"/>
        <w:jc w:val="left"/>
        <w:rPr>
          <w:sz w:val="21"/>
          <w:szCs w:val="21"/>
          <w:highlight w:val="green"/>
        </w:rPr>
      </w:pPr>
      <w:r>
        <w:rPr>
          <w:rFonts w:ascii="Times New Roman"/>
          <w:szCs w:val="21"/>
        </w:rPr>
        <w:t>[来源：</w:t>
      </w:r>
      <w:r>
        <w:rPr>
          <w:rFonts w:hint="eastAsia" w:ascii="Times New Roman"/>
          <w:szCs w:val="21"/>
        </w:rPr>
        <w:t>GB/T 24067</w:t>
      </w:r>
      <w:r>
        <w:rPr>
          <w:rFonts w:hint="eastAsia" w:ascii="Times New Roman"/>
          <w:szCs w:val="21"/>
          <w:lang w:val="en-US" w:eastAsia="zh-CN"/>
        </w:rPr>
        <w:t>-</w:t>
      </w:r>
      <w:r>
        <w:rPr>
          <w:rFonts w:hint="eastAsia" w:ascii="Times New Roman"/>
          <w:szCs w:val="21"/>
        </w:rPr>
        <w:t>2024</w:t>
      </w:r>
      <w:r>
        <w:rPr>
          <w:rFonts w:ascii="Times New Roman"/>
          <w:color w:val="000000"/>
        </w:rPr>
        <w:t>，3.</w:t>
      </w:r>
      <w:r>
        <w:rPr>
          <w:rFonts w:hint="eastAsia" w:ascii="Times New Roman"/>
          <w:color w:val="000000"/>
        </w:rPr>
        <w:t>2.4</w:t>
      </w:r>
      <w:r>
        <w:rPr>
          <w:rFonts w:ascii="Times New Roman"/>
          <w:szCs w:val="21"/>
          <w:highlight w:val="none"/>
        </w:rPr>
        <w:t>]</w:t>
      </w:r>
      <w:r>
        <w:rPr>
          <w:rFonts w:hint="default" w:ascii="Times New Roman" w:hAnsi="Times New Roman" w:eastAsia="宋体" w:cs="Times New Roman"/>
          <w:color w:val="000000"/>
          <w:kern w:val="0"/>
          <w:sz w:val="21"/>
          <w:szCs w:val="21"/>
          <w:highlight w:val="none"/>
          <w:lang w:val="en-US" w:eastAsia="zh-CN" w:bidi="ar"/>
        </w:rPr>
        <w:t xml:space="preserve"> </w:t>
      </w:r>
    </w:p>
    <w:p w14:paraId="61F224AE">
      <w:pPr>
        <w:keepNext w:val="0"/>
        <w:keepLines w:val="0"/>
        <w:widowControl/>
        <w:suppressLineNumbers w:val="0"/>
        <w:jc w:val="left"/>
        <w:rPr>
          <w:rFonts w:hint="default" w:ascii="黑体" w:hAnsi="黑体" w:eastAsia="黑体" w:cs="Times New Roman"/>
          <w:color w:val="000000"/>
          <w:kern w:val="0"/>
          <w:sz w:val="21"/>
          <w:szCs w:val="21"/>
          <w:lang w:val="en-US" w:eastAsia="zh-CN" w:bidi="ar-SA"/>
        </w:rPr>
      </w:pPr>
      <w:r>
        <w:rPr>
          <w:rFonts w:hint="default" w:ascii="黑体" w:hAnsi="黑体" w:eastAsia="黑体" w:cs="Times New Roman"/>
          <w:color w:val="000000"/>
          <w:kern w:val="0"/>
          <w:sz w:val="21"/>
          <w:szCs w:val="21"/>
          <w:lang w:val="en-US" w:eastAsia="zh-CN" w:bidi="ar-SA"/>
        </w:rPr>
        <w:t>3.</w:t>
      </w:r>
      <w:r>
        <w:rPr>
          <w:rFonts w:hint="eastAsia" w:ascii="黑体" w:hAnsi="黑体" w:eastAsia="黑体" w:cs="Times New Roman"/>
          <w:color w:val="000000"/>
          <w:kern w:val="0"/>
          <w:sz w:val="21"/>
          <w:szCs w:val="21"/>
          <w:lang w:val="en-US" w:eastAsia="zh-CN" w:bidi="ar-SA"/>
        </w:rPr>
        <w:t>6</w:t>
      </w:r>
      <w:r>
        <w:rPr>
          <w:rFonts w:hint="default" w:ascii="黑体" w:hAnsi="黑体" w:eastAsia="黑体" w:cs="Times New Roman"/>
          <w:color w:val="000000"/>
          <w:kern w:val="0"/>
          <w:sz w:val="21"/>
          <w:szCs w:val="21"/>
          <w:lang w:val="en-US" w:eastAsia="zh-CN" w:bidi="ar-SA"/>
        </w:rPr>
        <w:t xml:space="preserve"> </w:t>
      </w:r>
    </w:p>
    <w:p w14:paraId="70E08372">
      <w:pPr>
        <w:keepNext w:val="0"/>
        <w:keepLines w:val="0"/>
        <w:widowControl/>
        <w:suppressLineNumbers w:val="0"/>
        <w:ind w:left="420" w:leftChars="200" w:firstLine="0" w:firstLineChars="0"/>
        <w:jc w:val="left"/>
        <w:rPr>
          <w:rFonts w:hint="eastAsia" w:ascii="黑体" w:hAnsi="宋体" w:eastAsia="黑体" w:cs="黑体"/>
          <w:color w:val="000000"/>
          <w:kern w:val="0"/>
          <w:sz w:val="21"/>
          <w:szCs w:val="21"/>
          <w:highlight w:val="none"/>
          <w:lang w:val="en-US" w:eastAsia="zh-CN" w:bidi="ar"/>
        </w:rPr>
      </w:pPr>
      <w:r>
        <w:rPr>
          <w:rFonts w:hint="eastAsia" w:ascii="黑体" w:hAnsi="宋体" w:eastAsia="黑体" w:cs="黑体"/>
          <w:color w:val="000000"/>
          <w:kern w:val="0"/>
          <w:sz w:val="21"/>
          <w:szCs w:val="21"/>
          <w:highlight w:val="none"/>
          <w:lang w:val="en-US" w:eastAsia="zh-CN" w:bidi="ar"/>
        </w:rPr>
        <w:t xml:space="preserve">二氧化碳当量 </w:t>
      </w:r>
      <w:r>
        <w:rPr>
          <w:rFonts w:hint="default" w:ascii="Times New Roman" w:hAnsi="Times New Roman" w:eastAsia="宋体" w:cs="Times New Roman"/>
          <w:color w:val="000000"/>
          <w:kern w:val="0"/>
          <w:sz w:val="21"/>
          <w:szCs w:val="21"/>
          <w:lang w:val="en-US" w:eastAsia="zh-CN" w:bidi="ar"/>
        </w:rPr>
        <w:t>carbon dioxide equivalent</w:t>
      </w:r>
      <w:r>
        <w:rPr>
          <w:rFonts w:hint="eastAsia" w:ascii="Times New Roman" w:hAnsi="Times New Roman" w:eastAsia="宋体" w:cs="Times New Roman"/>
          <w:color w:val="000000"/>
          <w:kern w:val="0"/>
          <w:sz w:val="21"/>
          <w:szCs w:val="21"/>
          <w:lang w:val="en-US" w:eastAsia="zh-CN" w:bidi="ar"/>
        </w:rPr>
        <w:t>；</w:t>
      </w:r>
      <w:r>
        <w:rPr>
          <w:rFonts w:hint="eastAsia" w:ascii="黑体" w:hAnsi="宋体" w:eastAsia="黑体" w:cs="黑体"/>
          <w:color w:val="000000"/>
          <w:kern w:val="0"/>
          <w:sz w:val="21"/>
          <w:szCs w:val="21"/>
          <w:highlight w:val="none"/>
          <w:lang w:val="en-US" w:eastAsia="zh-CN" w:bidi="ar"/>
        </w:rPr>
        <w:t>CO</w:t>
      </w:r>
      <w:r>
        <w:rPr>
          <w:rFonts w:hint="eastAsia" w:ascii="黑体" w:hAnsi="宋体" w:eastAsia="黑体" w:cs="黑体"/>
          <w:color w:val="000000"/>
          <w:kern w:val="0"/>
          <w:sz w:val="21"/>
          <w:szCs w:val="21"/>
          <w:highlight w:val="none"/>
          <w:vertAlign w:val="subscript"/>
          <w:lang w:val="en-US" w:eastAsia="zh-CN" w:bidi="ar"/>
        </w:rPr>
        <w:t>2</w:t>
      </w:r>
      <w:r>
        <w:rPr>
          <w:rFonts w:hint="eastAsia" w:ascii="黑体" w:hAnsi="宋体" w:eastAsia="黑体" w:cs="黑体"/>
          <w:color w:val="000000"/>
          <w:kern w:val="0"/>
          <w:sz w:val="21"/>
          <w:szCs w:val="21"/>
          <w:highlight w:val="none"/>
          <w:lang w:val="en-US" w:eastAsia="zh-CN" w:bidi="ar"/>
        </w:rPr>
        <w:t>e</w:t>
      </w:r>
    </w:p>
    <w:p w14:paraId="4766A861">
      <w:pPr>
        <w:pStyle w:val="27"/>
        <w:spacing w:line="276" w:lineRule="auto"/>
        <w:ind w:firstLineChars="0"/>
        <w:rPr>
          <w:rFonts w:ascii="Times New Roman"/>
          <w:szCs w:val="21"/>
        </w:rPr>
      </w:pPr>
      <w:r>
        <w:rPr>
          <w:rFonts w:ascii="Times New Roman"/>
          <w:szCs w:val="21"/>
        </w:rPr>
        <w:t>比较某种温室气体与二氧化碳的辐射强迫的单位。</w:t>
      </w:r>
    </w:p>
    <w:p w14:paraId="74488BF2">
      <w:pPr>
        <w:pStyle w:val="27"/>
        <w:spacing w:line="276" w:lineRule="auto"/>
        <w:ind w:firstLineChars="0"/>
        <w:rPr>
          <w:rFonts w:ascii="Times New Roman"/>
          <w:szCs w:val="21"/>
        </w:rPr>
      </w:pPr>
      <w:r>
        <w:rPr>
          <w:rFonts w:ascii="Times New Roman" w:eastAsia="黑体"/>
          <w:szCs w:val="21"/>
        </w:rPr>
        <w:t>注：</w:t>
      </w:r>
      <w:r>
        <w:rPr>
          <w:rFonts w:ascii="Times New Roman"/>
          <w:szCs w:val="21"/>
        </w:rPr>
        <w:t>给定温室气体的二氧化碳当量等于该温室气体质量乘以它的全球变暖潜势值。</w:t>
      </w:r>
    </w:p>
    <w:p w14:paraId="3B04DB64">
      <w:pPr>
        <w:keepNext w:val="0"/>
        <w:keepLines w:val="0"/>
        <w:widowControl/>
        <w:suppressLineNumbers w:val="0"/>
        <w:ind w:firstLine="420" w:firstLineChars="200"/>
        <w:jc w:val="left"/>
        <w:rPr>
          <w:sz w:val="21"/>
          <w:szCs w:val="21"/>
          <w:highlight w:val="green"/>
        </w:rPr>
      </w:pPr>
      <w:r>
        <w:rPr>
          <w:rFonts w:ascii="Times New Roman"/>
          <w:szCs w:val="21"/>
        </w:rPr>
        <w:t>[来源：</w:t>
      </w:r>
      <w:r>
        <w:rPr>
          <w:rFonts w:hint="eastAsia" w:ascii="Times New Roman"/>
          <w:szCs w:val="21"/>
        </w:rPr>
        <w:t>GB/T 24067</w:t>
      </w:r>
      <w:r>
        <w:rPr>
          <w:rFonts w:hint="eastAsia" w:ascii="Times New Roman"/>
          <w:szCs w:val="21"/>
          <w:lang w:val="en-US" w:eastAsia="zh-CN"/>
        </w:rPr>
        <w:t>-</w:t>
      </w:r>
      <w:r>
        <w:rPr>
          <w:rFonts w:hint="eastAsia" w:ascii="Times New Roman"/>
          <w:szCs w:val="21"/>
        </w:rPr>
        <w:t>2024</w:t>
      </w:r>
      <w:r>
        <w:rPr>
          <w:rFonts w:ascii="Times New Roman"/>
          <w:color w:val="000000"/>
        </w:rPr>
        <w:t>，3.</w:t>
      </w:r>
      <w:r>
        <w:rPr>
          <w:rFonts w:hint="eastAsia" w:ascii="Times New Roman"/>
          <w:color w:val="000000"/>
        </w:rPr>
        <w:t>2.2</w:t>
      </w:r>
      <w:r>
        <w:rPr>
          <w:rFonts w:ascii="Times New Roman"/>
          <w:szCs w:val="21"/>
        </w:rPr>
        <w:t>]</w:t>
      </w:r>
    </w:p>
    <w:p w14:paraId="080D8915">
      <w:pPr>
        <w:keepNext w:val="0"/>
        <w:keepLines w:val="0"/>
        <w:widowControl/>
        <w:suppressLineNumbers w:val="0"/>
        <w:jc w:val="left"/>
        <w:rPr>
          <w:sz w:val="21"/>
          <w:szCs w:val="21"/>
        </w:rPr>
      </w:pPr>
      <w:r>
        <w:rPr>
          <w:rFonts w:hint="default" w:ascii="黑体" w:hAnsi="黑体" w:eastAsia="黑体" w:cs="Times New Roman"/>
          <w:color w:val="000000"/>
          <w:kern w:val="0"/>
          <w:sz w:val="21"/>
          <w:szCs w:val="21"/>
          <w:lang w:val="en-US" w:eastAsia="zh-CN" w:bidi="ar-SA"/>
        </w:rPr>
        <w:t>3.</w:t>
      </w:r>
      <w:r>
        <w:rPr>
          <w:rFonts w:hint="eastAsia" w:ascii="黑体" w:hAnsi="黑体" w:eastAsia="黑体" w:cs="Times New Roman"/>
          <w:color w:val="000000"/>
          <w:kern w:val="0"/>
          <w:sz w:val="21"/>
          <w:szCs w:val="21"/>
          <w:lang w:val="en-US" w:eastAsia="zh-CN" w:bidi="ar-SA"/>
        </w:rPr>
        <w:t>7</w:t>
      </w:r>
      <w:r>
        <w:rPr>
          <w:rFonts w:hint="default" w:ascii="Times New Roman" w:hAnsi="Times New Roman" w:eastAsia="宋体" w:cs="Times New Roman"/>
          <w:color w:val="000000"/>
          <w:kern w:val="0"/>
          <w:sz w:val="21"/>
          <w:szCs w:val="21"/>
          <w:lang w:val="en-US" w:eastAsia="zh-CN" w:bidi="ar"/>
        </w:rPr>
        <w:t xml:space="preserve"> </w:t>
      </w:r>
    </w:p>
    <w:p w14:paraId="2731DA74">
      <w:pPr>
        <w:keepNext w:val="0"/>
        <w:keepLines w:val="0"/>
        <w:widowControl/>
        <w:suppressLineNumbers w:val="0"/>
        <w:ind w:left="420" w:leftChars="200" w:firstLine="0" w:firstLineChars="0"/>
        <w:jc w:val="left"/>
        <w:rPr>
          <w:rFonts w:hint="eastAsia" w:ascii="黑体" w:hAnsi="宋体" w:eastAsia="黑体" w:cs="黑体"/>
          <w:color w:val="000000"/>
          <w:kern w:val="0"/>
          <w:sz w:val="21"/>
          <w:szCs w:val="21"/>
          <w:highlight w:val="none"/>
          <w:lang w:val="en-US" w:eastAsia="zh-CN" w:bidi="ar"/>
        </w:rPr>
      </w:pPr>
      <w:r>
        <w:rPr>
          <w:rFonts w:hint="eastAsia" w:ascii="黑体" w:hAnsi="宋体" w:eastAsia="黑体" w:cs="黑体"/>
          <w:color w:val="000000"/>
          <w:kern w:val="0"/>
          <w:sz w:val="21"/>
          <w:szCs w:val="21"/>
          <w:highlight w:val="none"/>
          <w:lang w:val="en-US" w:eastAsia="zh-CN" w:bidi="ar"/>
        </w:rPr>
        <w:t xml:space="preserve">温室气体排放量 </w:t>
      </w:r>
      <w:r>
        <w:rPr>
          <w:rFonts w:hint="eastAsia" w:ascii="Times New Roman" w:hAnsi="Times New Roman" w:eastAsia="宋体" w:cs="Times New Roman"/>
          <w:color w:val="000000"/>
          <w:kern w:val="0"/>
          <w:sz w:val="21"/>
          <w:szCs w:val="21"/>
          <w:lang w:val="en-US" w:eastAsia="zh-CN" w:bidi="ar"/>
        </w:rPr>
        <w:t>greenhouse gas emission；</w:t>
      </w:r>
      <w:r>
        <w:rPr>
          <w:rFonts w:hint="eastAsia" w:ascii="黑体" w:hAnsi="宋体" w:eastAsia="黑体" w:cs="黑体"/>
          <w:color w:val="000000"/>
          <w:kern w:val="0"/>
          <w:sz w:val="21"/>
          <w:szCs w:val="21"/>
          <w:highlight w:val="none"/>
          <w:lang w:val="en-US" w:eastAsia="zh-CN" w:bidi="ar"/>
        </w:rPr>
        <w:t xml:space="preserve">GHG </w:t>
      </w:r>
      <w:r>
        <w:rPr>
          <w:rFonts w:hint="eastAsia" w:ascii="Times New Roman" w:hAnsi="Times New Roman" w:eastAsia="宋体" w:cs="Times New Roman"/>
          <w:color w:val="000000"/>
          <w:kern w:val="0"/>
          <w:sz w:val="21"/>
          <w:szCs w:val="21"/>
          <w:lang w:val="en-US" w:eastAsia="zh-CN" w:bidi="ar"/>
        </w:rPr>
        <w:t>emission</w:t>
      </w:r>
    </w:p>
    <w:p w14:paraId="2E787C9C">
      <w:pPr>
        <w:pStyle w:val="27"/>
        <w:spacing w:line="276" w:lineRule="auto"/>
        <w:rPr>
          <w:rFonts w:ascii="Times New Roman"/>
          <w:szCs w:val="21"/>
        </w:rPr>
      </w:pPr>
      <w:r>
        <w:rPr>
          <w:rFonts w:ascii="Times New Roman"/>
          <w:szCs w:val="21"/>
        </w:rPr>
        <w:t>在特定时段内释放到大气中的温室气体总量（以质量单位计算）。</w:t>
      </w:r>
    </w:p>
    <w:p w14:paraId="54C5BB98">
      <w:pPr>
        <w:pStyle w:val="27"/>
        <w:spacing w:line="276" w:lineRule="auto"/>
        <w:rPr>
          <w:rFonts w:ascii="Times New Roman"/>
          <w:szCs w:val="21"/>
        </w:rPr>
      </w:pPr>
      <w:r>
        <w:rPr>
          <w:rFonts w:ascii="Times New Roman"/>
          <w:szCs w:val="21"/>
        </w:rPr>
        <w:t>[来源：</w:t>
      </w:r>
      <w:r>
        <w:rPr>
          <w:rFonts w:hint="eastAsia" w:ascii="Times New Roman"/>
          <w:szCs w:val="21"/>
        </w:rPr>
        <w:t>GB/T 24067</w:t>
      </w:r>
      <w:r>
        <w:rPr>
          <w:rFonts w:hint="eastAsia" w:ascii="Times New Roman"/>
          <w:szCs w:val="21"/>
          <w:lang w:val="en-US" w:eastAsia="zh-CN"/>
        </w:rPr>
        <w:t>-</w:t>
      </w:r>
      <w:r>
        <w:rPr>
          <w:rFonts w:hint="eastAsia" w:ascii="Times New Roman"/>
          <w:szCs w:val="21"/>
        </w:rPr>
        <w:t>2024</w:t>
      </w:r>
      <w:r>
        <w:rPr>
          <w:rFonts w:ascii="Times New Roman"/>
          <w:color w:val="000000"/>
        </w:rPr>
        <w:t>，3.</w:t>
      </w:r>
      <w:r>
        <w:rPr>
          <w:rFonts w:hint="eastAsia" w:ascii="Times New Roman"/>
          <w:color w:val="000000"/>
        </w:rPr>
        <w:t>2.5</w:t>
      </w:r>
      <w:r>
        <w:rPr>
          <w:rFonts w:ascii="Times New Roman"/>
          <w:szCs w:val="21"/>
        </w:rPr>
        <w:t>]</w:t>
      </w:r>
    </w:p>
    <w:p w14:paraId="67BECD58">
      <w:pPr>
        <w:pStyle w:val="47"/>
        <w:keepNext w:val="0"/>
        <w:keepLines w:val="0"/>
        <w:pageBreakBefore w:val="0"/>
        <w:widowControl/>
        <w:numPr>
          <w:ilvl w:val="0"/>
          <w:numId w:val="0"/>
        </w:numPr>
        <w:kinsoku/>
        <w:wordWrap/>
        <w:overflowPunct/>
        <w:topLinePunct w:val="0"/>
        <w:autoSpaceDE/>
        <w:autoSpaceDN/>
        <w:bidi w:val="0"/>
        <w:adjustRightInd/>
        <w:snapToGrid/>
        <w:spacing w:before="0" w:beforeLines="0" w:after="0" w:afterLines="0" w:line="240" w:lineRule="auto"/>
        <w:ind w:left="0" w:hanging="420" w:hangingChars="200"/>
        <w:textAlignment w:val="auto"/>
        <w:outlineLvl w:val="1"/>
        <w:rPr>
          <w:rFonts w:hint="eastAsia" w:ascii="黑体" w:hAnsi="黑体" w:eastAsia="黑体" w:cs="Times New Roman"/>
          <w:color w:val="000000"/>
          <w:kern w:val="0"/>
          <w:sz w:val="21"/>
          <w:szCs w:val="21"/>
          <w:lang w:val="en-US" w:eastAsia="zh-CN" w:bidi="ar-SA"/>
        </w:rPr>
      </w:pPr>
      <w:r>
        <w:rPr>
          <w:rFonts w:hint="eastAsia" w:ascii="黑体" w:hAnsi="黑体" w:eastAsia="黑体" w:cs="Times New Roman"/>
          <w:color w:val="000000"/>
          <w:kern w:val="0"/>
          <w:sz w:val="21"/>
          <w:szCs w:val="21"/>
          <w:lang w:val="en-US" w:eastAsia="zh-CN" w:bidi="ar-SA"/>
        </w:rPr>
        <w:t>3.8</w:t>
      </w:r>
    </w:p>
    <w:p w14:paraId="259B2C74">
      <w:pPr>
        <w:pStyle w:val="47"/>
        <w:keepNext w:val="0"/>
        <w:keepLines w:val="0"/>
        <w:pageBreakBefore w:val="0"/>
        <w:widowControl/>
        <w:numPr>
          <w:ilvl w:val="0"/>
          <w:numId w:val="0"/>
        </w:numPr>
        <w:kinsoku/>
        <w:wordWrap/>
        <w:overflowPunct/>
        <w:topLinePunct w:val="0"/>
        <w:autoSpaceDE/>
        <w:autoSpaceDN/>
        <w:bidi w:val="0"/>
        <w:adjustRightInd/>
        <w:snapToGrid/>
        <w:spacing w:before="0" w:beforeLines="0" w:after="0" w:afterLines="0" w:line="240" w:lineRule="auto"/>
        <w:ind w:left="420" w:leftChars="200" w:firstLine="0" w:firstLineChars="0"/>
        <w:textAlignment w:val="auto"/>
        <w:outlineLvl w:val="1"/>
        <w:rPr>
          <w:rFonts w:hint="eastAsia" w:ascii="黑体" w:hAnsi="宋体" w:eastAsia="黑体" w:cs="黑体"/>
          <w:color w:val="000000"/>
          <w:kern w:val="0"/>
          <w:sz w:val="21"/>
          <w:szCs w:val="21"/>
          <w:highlight w:val="none"/>
          <w:lang w:val="en-US" w:eastAsia="zh-CN" w:bidi="ar"/>
        </w:rPr>
      </w:pPr>
      <w:r>
        <w:rPr>
          <w:rFonts w:hint="eastAsia" w:ascii="黑体" w:hAnsi="宋体" w:eastAsia="黑体" w:cs="黑体"/>
          <w:color w:val="000000"/>
          <w:kern w:val="0"/>
          <w:sz w:val="21"/>
          <w:szCs w:val="21"/>
          <w:highlight w:val="none"/>
          <w:lang w:val="en-US" w:eastAsia="zh-CN" w:bidi="ar"/>
        </w:rPr>
        <w:t>温室气体清除量 greenhouse gas removal</w:t>
      </w:r>
      <w:r>
        <w:rPr>
          <w:rFonts w:hint="eastAsia" w:hAnsi="宋体" w:cs="黑体"/>
          <w:color w:val="000000"/>
          <w:kern w:val="0"/>
          <w:sz w:val="21"/>
          <w:szCs w:val="21"/>
          <w:highlight w:val="none"/>
          <w:lang w:val="en-US" w:eastAsia="zh-CN" w:bidi="ar"/>
        </w:rPr>
        <w:t>；</w:t>
      </w:r>
      <w:r>
        <w:rPr>
          <w:rFonts w:hint="eastAsia" w:ascii="黑体" w:hAnsi="宋体" w:eastAsia="黑体" w:cs="黑体"/>
          <w:color w:val="000000"/>
          <w:kern w:val="0"/>
          <w:sz w:val="21"/>
          <w:szCs w:val="21"/>
          <w:highlight w:val="none"/>
          <w:lang w:val="en-US" w:eastAsia="zh-CN" w:bidi="ar"/>
        </w:rPr>
        <w:t>GHG removal</w:t>
      </w:r>
    </w:p>
    <w:p w14:paraId="47D501F5">
      <w:pPr>
        <w:pStyle w:val="27"/>
        <w:spacing w:line="276" w:lineRule="auto"/>
        <w:rPr>
          <w:rFonts w:ascii="Times New Roman" w:hAnsi="Times New Roman" w:eastAsia="宋体" w:cs="Times New Roman"/>
          <w:szCs w:val="21"/>
        </w:rPr>
      </w:pPr>
      <w:r>
        <w:rPr>
          <w:rFonts w:ascii="Times New Roman" w:hAnsi="Times New Roman" w:eastAsia="宋体" w:cs="Times New Roman"/>
          <w:szCs w:val="21"/>
        </w:rPr>
        <w:t>在特定时段内从大气中清除的温室气体总量（以质量单位计算）。</w:t>
      </w:r>
    </w:p>
    <w:p w14:paraId="7829F1D8">
      <w:pPr>
        <w:pStyle w:val="27"/>
        <w:spacing w:line="276" w:lineRule="auto"/>
        <w:rPr>
          <w:rFonts w:ascii="Times New Roman" w:hAnsi="Times New Roman" w:eastAsia="宋体" w:cs="Times New Roman"/>
          <w:szCs w:val="21"/>
        </w:rPr>
      </w:pPr>
      <w:r>
        <w:rPr>
          <w:rFonts w:ascii="Times New Roman" w:hAnsi="Times New Roman" w:eastAsia="宋体" w:cs="Times New Roman"/>
          <w:szCs w:val="21"/>
        </w:rPr>
        <w:t>[来源：</w:t>
      </w:r>
      <w:r>
        <w:rPr>
          <w:rFonts w:hint="eastAsia" w:ascii="Times New Roman"/>
          <w:szCs w:val="21"/>
        </w:rPr>
        <w:t>GB/T 24067</w:t>
      </w:r>
      <w:r>
        <w:rPr>
          <w:rFonts w:hint="eastAsia" w:ascii="Times New Roman"/>
          <w:szCs w:val="21"/>
          <w:lang w:val="en-US" w:eastAsia="zh-CN"/>
        </w:rPr>
        <w:t>-</w:t>
      </w:r>
      <w:r>
        <w:rPr>
          <w:rFonts w:hint="eastAsia" w:ascii="Times New Roman"/>
          <w:szCs w:val="21"/>
        </w:rPr>
        <w:t>2024</w:t>
      </w:r>
      <w:r>
        <w:rPr>
          <w:rFonts w:ascii="Times New Roman" w:hAnsi="Times New Roman" w:eastAsia="宋体" w:cs="Times New Roman"/>
          <w:szCs w:val="21"/>
        </w:rPr>
        <w:t>，3.2.6]</w:t>
      </w:r>
    </w:p>
    <w:p w14:paraId="416E0646">
      <w:pPr>
        <w:pStyle w:val="47"/>
        <w:keepNext w:val="0"/>
        <w:keepLines w:val="0"/>
        <w:pageBreakBefore w:val="0"/>
        <w:widowControl/>
        <w:numPr>
          <w:ilvl w:val="0"/>
          <w:numId w:val="0"/>
        </w:numPr>
        <w:kinsoku/>
        <w:wordWrap/>
        <w:overflowPunct/>
        <w:topLinePunct w:val="0"/>
        <w:autoSpaceDE/>
        <w:autoSpaceDN/>
        <w:bidi w:val="0"/>
        <w:adjustRightInd/>
        <w:snapToGrid/>
        <w:spacing w:before="0" w:beforeLines="0" w:after="0" w:afterLines="0" w:line="240" w:lineRule="auto"/>
        <w:ind w:left="0" w:hanging="420" w:hangingChars="200"/>
        <w:textAlignment w:val="auto"/>
        <w:outlineLvl w:val="1"/>
        <w:rPr>
          <w:rFonts w:hint="eastAsia" w:ascii="黑体" w:hAnsi="黑体" w:eastAsia="黑体" w:cs="Times New Roman"/>
          <w:color w:val="000000"/>
          <w:kern w:val="0"/>
          <w:sz w:val="21"/>
          <w:szCs w:val="21"/>
          <w:lang w:val="en-US" w:eastAsia="zh-CN" w:bidi="ar-SA"/>
        </w:rPr>
      </w:pPr>
      <w:r>
        <w:rPr>
          <w:rFonts w:hint="eastAsia" w:ascii="黑体" w:hAnsi="黑体" w:eastAsia="黑体" w:cs="Times New Roman"/>
          <w:color w:val="000000"/>
          <w:kern w:val="0"/>
          <w:sz w:val="21"/>
          <w:szCs w:val="21"/>
          <w:lang w:val="en-US" w:eastAsia="zh-CN" w:bidi="ar-SA"/>
        </w:rPr>
        <w:t>3.9</w:t>
      </w:r>
    </w:p>
    <w:p w14:paraId="652C9C3C">
      <w:pPr>
        <w:pStyle w:val="47"/>
        <w:keepNext w:val="0"/>
        <w:keepLines w:val="0"/>
        <w:pageBreakBefore w:val="0"/>
        <w:widowControl/>
        <w:numPr>
          <w:ilvl w:val="0"/>
          <w:numId w:val="0"/>
        </w:numPr>
        <w:kinsoku/>
        <w:wordWrap/>
        <w:overflowPunct/>
        <w:topLinePunct w:val="0"/>
        <w:bidi w:val="0"/>
        <w:adjustRightInd/>
        <w:snapToGrid/>
        <w:spacing w:before="0" w:beforeLines="0" w:after="0" w:afterLines="0" w:line="240" w:lineRule="auto"/>
        <w:ind w:left="420" w:leftChars="200" w:firstLine="0" w:firstLineChars="0"/>
        <w:textAlignment w:val="auto"/>
        <w:outlineLvl w:val="1"/>
        <w:rPr>
          <w:rFonts w:ascii="Times New Roman" w:eastAsia="宋体"/>
          <w:b/>
          <w:bCs/>
        </w:rPr>
      </w:pPr>
      <w:r>
        <w:rPr>
          <w:rFonts w:hint="eastAsia" w:ascii="黑体" w:hAnsi="宋体" w:eastAsia="黑体" w:cs="黑体"/>
          <w:color w:val="000000"/>
          <w:kern w:val="0"/>
          <w:sz w:val="21"/>
          <w:szCs w:val="21"/>
          <w:highlight w:val="none"/>
          <w:lang w:val="en-US" w:eastAsia="zh-CN" w:bidi="ar"/>
        </w:rPr>
        <w:t>温室气体排放因子 greenhouse gas emission factor</w:t>
      </w:r>
      <w:r>
        <w:rPr>
          <w:rFonts w:hint="eastAsia" w:hAnsi="宋体" w:cs="黑体"/>
          <w:color w:val="000000"/>
          <w:kern w:val="0"/>
          <w:sz w:val="21"/>
          <w:szCs w:val="21"/>
          <w:highlight w:val="none"/>
          <w:lang w:val="en-US" w:eastAsia="zh-CN" w:bidi="ar"/>
        </w:rPr>
        <w:t>；</w:t>
      </w:r>
      <w:r>
        <w:rPr>
          <w:rFonts w:hint="eastAsia" w:ascii="黑体" w:hAnsi="宋体" w:eastAsia="黑体" w:cs="黑体"/>
          <w:color w:val="000000"/>
          <w:kern w:val="0"/>
          <w:sz w:val="21"/>
          <w:szCs w:val="21"/>
          <w:highlight w:val="none"/>
          <w:lang w:val="en-US" w:eastAsia="zh-CN" w:bidi="ar"/>
        </w:rPr>
        <w:t>GHG emission factor</w:t>
      </w:r>
    </w:p>
    <w:p w14:paraId="1A4241AF">
      <w:pPr>
        <w:pStyle w:val="27"/>
        <w:keepNext w:val="0"/>
        <w:keepLines w:val="0"/>
        <w:pageBreakBefore w:val="0"/>
        <w:widowControl/>
        <w:kinsoku/>
        <w:wordWrap/>
        <w:overflowPunct/>
        <w:topLinePunct w:val="0"/>
        <w:bidi w:val="0"/>
        <w:adjustRightInd/>
        <w:snapToGrid/>
        <w:spacing w:line="240" w:lineRule="auto"/>
        <w:textAlignment w:val="auto"/>
        <w:rPr>
          <w:rFonts w:ascii="Times New Roman"/>
        </w:rPr>
      </w:pPr>
      <w:r>
        <w:rPr>
          <w:rFonts w:ascii="Times New Roman"/>
        </w:rPr>
        <w:t>活动数据与温室气体排放相关的系数。</w:t>
      </w:r>
    </w:p>
    <w:p w14:paraId="2F180E9E">
      <w:pPr>
        <w:pStyle w:val="27"/>
        <w:keepNext w:val="0"/>
        <w:keepLines w:val="0"/>
        <w:pageBreakBefore w:val="0"/>
        <w:widowControl/>
        <w:kinsoku/>
        <w:wordWrap/>
        <w:overflowPunct/>
        <w:topLinePunct w:val="0"/>
        <w:bidi w:val="0"/>
        <w:adjustRightInd/>
        <w:snapToGrid/>
        <w:spacing w:line="240" w:lineRule="auto"/>
        <w:textAlignment w:val="auto"/>
        <w:rPr>
          <w:rFonts w:ascii="Times New Roman"/>
        </w:rPr>
      </w:pPr>
      <w:r>
        <w:rPr>
          <w:rFonts w:ascii="Times New Roman" w:eastAsia="黑体"/>
          <w:szCs w:val="21"/>
        </w:rPr>
        <w:t>注：</w:t>
      </w:r>
      <w:r>
        <w:rPr>
          <w:rFonts w:ascii="Times New Roman"/>
        </w:rPr>
        <w:t>本文件中的排放因子指的是生命周期的足迹因子。</w:t>
      </w:r>
    </w:p>
    <w:p w14:paraId="6D5F1600">
      <w:pPr>
        <w:pStyle w:val="27"/>
        <w:keepNext w:val="0"/>
        <w:keepLines w:val="0"/>
        <w:pageBreakBefore w:val="0"/>
        <w:widowControl/>
        <w:kinsoku/>
        <w:wordWrap/>
        <w:overflowPunct/>
        <w:topLinePunct w:val="0"/>
        <w:bidi w:val="0"/>
        <w:adjustRightInd/>
        <w:snapToGrid/>
        <w:spacing w:line="240" w:lineRule="auto"/>
        <w:textAlignment w:val="auto"/>
        <w:rPr>
          <w:rFonts w:ascii="Times New Roman"/>
          <w:szCs w:val="21"/>
        </w:rPr>
      </w:pPr>
      <w:r>
        <w:rPr>
          <w:rFonts w:ascii="Times New Roman"/>
          <w:szCs w:val="21"/>
        </w:rPr>
        <w:t>[来源：</w:t>
      </w:r>
      <w:r>
        <w:rPr>
          <w:rFonts w:hint="eastAsia" w:ascii="Times New Roman"/>
          <w:szCs w:val="21"/>
        </w:rPr>
        <w:t>GB/T 24067</w:t>
      </w:r>
      <w:r>
        <w:rPr>
          <w:rFonts w:hint="eastAsia" w:ascii="Times New Roman"/>
          <w:szCs w:val="21"/>
          <w:lang w:val="en-US" w:eastAsia="zh-CN"/>
        </w:rPr>
        <w:t>-</w:t>
      </w:r>
      <w:r>
        <w:rPr>
          <w:rFonts w:hint="eastAsia" w:ascii="Times New Roman"/>
          <w:szCs w:val="21"/>
        </w:rPr>
        <w:t>2024</w:t>
      </w:r>
      <w:r>
        <w:rPr>
          <w:rFonts w:ascii="Times New Roman"/>
          <w:color w:val="000000"/>
        </w:rPr>
        <w:t>，3.2.7</w:t>
      </w:r>
      <w:r>
        <w:rPr>
          <w:rFonts w:ascii="Times New Roman"/>
          <w:szCs w:val="21"/>
        </w:rPr>
        <w:t>]</w:t>
      </w:r>
    </w:p>
    <w:p w14:paraId="71D8A08D">
      <w:pPr>
        <w:pStyle w:val="47"/>
        <w:keepNext w:val="0"/>
        <w:keepLines w:val="0"/>
        <w:pageBreakBefore w:val="0"/>
        <w:widowControl/>
        <w:numPr>
          <w:ilvl w:val="0"/>
          <w:numId w:val="0"/>
        </w:numPr>
        <w:kinsoku/>
        <w:wordWrap/>
        <w:overflowPunct/>
        <w:topLinePunct w:val="0"/>
        <w:autoSpaceDE/>
        <w:autoSpaceDN/>
        <w:bidi w:val="0"/>
        <w:adjustRightInd/>
        <w:snapToGrid/>
        <w:spacing w:before="0" w:beforeLines="0" w:after="0" w:afterLines="0" w:line="240" w:lineRule="auto"/>
        <w:ind w:left="0" w:hanging="420" w:hangingChars="200"/>
        <w:textAlignment w:val="auto"/>
        <w:outlineLvl w:val="1"/>
        <w:rPr>
          <w:rFonts w:hint="eastAsia" w:ascii="黑体" w:hAnsi="黑体" w:eastAsia="黑体" w:cs="Times New Roman"/>
          <w:color w:val="000000"/>
          <w:kern w:val="0"/>
          <w:sz w:val="21"/>
          <w:szCs w:val="21"/>
          <w:lang w:val="en-US" w:eastAsia="zh-CN" w:bidi="ar-SA"/>
        </w:rPr>
      </w:pPr>
      <w:r>
        <w:rPr>
          <w:rFonts w:hint="eastAsia" w:ascii="黑体" w:hAnsi="黑体" w:eastAsia="黑体" w:cs="Times New Roman"/>
          <w:color w:val="000000"/>
          <w:kern w:val="0"/>
          <w:sz w:val="21"/>
          <w:szCs w:val="21"/>
          <w:lang w:val="en-US" w:eastAsia="zh-CN" w:bidi="ar-SA"/>
        </w:rPr>
        <w:t>3.10</w:t>
      </w:r>
    </w:p>
    <w:p w14:paraId="04CD5BE4">
      <w:pPr>
        <w:pStyle w:val="47"/>
        <w:keepNext w:val="0"/>
        <w:keepLines w:val="0"/>
        <w:pageBreakBefore w:val="0"/>
        <w:widowControl/>
        <w:numPr>
          <w:ilvl w:val="0"/>
          <w:numId w:val="0"/>
        </w:numPr>
        <w:kinsoku/>
        <w:wordWrap/>
        <w:overflowPunct/>
        <w:topLinePunct w:val="0"/>
        <w:bidi w:val="0"/>
        <w:adjustRightInd/>
        <w:snapToGrid/>
        <w:spacing w:before="0" w:beforeLines="0" w:after="0" w:afterLines="0" w:line="240" w:lineRule="auto"/>
        <w:ind w:left="420" w:leftChars="200" w:firstLine="0" w:firstLineChars="0"/>
        <w:textAlignment w:val="auto"/>
        <w:outlineLvl w:val="1"/>
        <w:rPr>
          <w:rFonts w:ascii="Times New Roman" w:eastAsia="宋体"/>
          <w:b/>
          <w:bCs/>
        </w:rPr>
      </w:pPr>
      <w:r>
        <w:rPr>
          <w:rFonts w:ascii="Times New Roman" w:eastAsia="宋体"/>
          <w:b/>
          <w:bCs/>
        </w:rPr>
        <w:t>产品系统 product system</w:t>
      </w:r>
    </w:p>
    <w:p w14:paraId="3D17FDD5">
      <w:pPr>
        <w:pStyle w:val="27"/>
        <w:keepNext w:val="0"/>
        <w:keepLines w:val="0"/>
        <w:pageBreakBefore w:val="0"/>
        <w:widowControl/>
        <w:kinsoku/>
        <w:wordWrap/>
        <w:overflowPunct/>
        <w:topLinePunct w:val="0"/>
        <w:bidi w:val="0"/>
        <w:adjustRightInd/>
        <w:snapToGrid/>
        <w:spacing w:line="240" w:lineRule="auto"/>
        <w:textAlignment w:val="auto"/>
        <w:rPr>
          <w:rFonts w:ascii="Times New Roman"/>
        </w:rPr>
      </w:pPr>
      <w:r>
        <w:rPr>
          <w:rFonts w:ascii="Times New Roman"/>
        </w:rPr>
        <w:t>拥有基本流和产品流，同时具有一种或多种特定功能，并能模拟产品生命周期的单元过程的集合。</w:t>
      </w:r>
    </w:p>
    <w:p w14:paraId="3032D7BF">
      <w:pPr>
        <w:pStyle w:val="27"/>
        <w:keepNext w:val="0"/>
        <w:keepLines w:val="0"/>
        <w:pageBreakBefore w:val="0"/>
        <w:widowControl/>
        <w:kinsoku/>
        <w:wordWrap/>
        <w:overflowPunct/>
        <w:topLinePunct w:val="0"/>
        <w:bidi w:val="0"/>
        <w:adjustRightInd/>
        <w:snapToGrid/>
        <w:spacing w:line="240" w:lineRule="auto"/>
        <w:textAlignment w:val="auto"/>
        <w:rPr>
          <w:rFonts w:ascii="Times New Roman"/>
        </w:rPr>
      </w:pPr>
      <w:r>
        <w:rPr>
          <w:rFonts w:ascii="Times New Roman"/>
        </w:rPr>
        <w:t>[来源：</w:t>
      </w:r>
      <w:r>
        <w:rPr>
          <w:rFonts w:hint="eastAsia" w:ascii="Times New Roman"/>
          <w:szCs w:val="21"/>
        </w:rPr>
        <w:t>GB/T 24067</w:t>
      </w:r>
      <w:r>
        <w:rPr>
          <w:rFonts w:hint="eastAsia" w:ascii="Times New Roman"/>
          <w:szCs w:val="21"/>
          <w:lang w:val="en-US" w:eastAsia="zh-CN"/>
        </w:rPr>
        <w:t>-</w:t>
      </w:r>
      <w:r>
        <w:rPr>
          <w:rFonts w:hint="eastAsia" w:ascii="Times New Roman"/>
          <w:szCs w:val="21"/>
        </w:rPr>
        <w:t>2024</w:t>
      </w:r>
      <w:r>
        <w:rPr>
          <w:rFonts w:ascii="Times New Roman"/>
          <w:color w:val="000000"/>
        </w:rPr>
        <w:t>，</w:t>
      </w:r>
      <w:r>
        <w:rPr>
          <w:rFonts w:hint="eastAsia" w:ascii="Times New Roman"/>
          <w:color w:val="000000"/>
        </w:rPr>
        <w:t>3.3.2</w:t>
      </w:r>
      <w:r>
        <w:rPr>
          <w:rFonts w:ascii="Times New Roman"/>
        </w:rPr>
        <w:t>]</w:t>
      </w:r>
    </w:p>
    <w:p w14:paraId="5A704A5B">
      <w:pPr>
        <w:pStyle w:val="47"/>
        <w:keepNext w:val="0"/>
        <w:keepLines w:val="0"/>
        <w:pageBreakBefore w:val="0"/>
        <w:widowControl/>
        <w:numPr>
          <w:ilvl w:val="0"/>
          <w:numId w:val="0"/>
        </w:numPr>
        <w:kinsoku/>
        <w:wordWrap/>
        <w:overflowPunct/>
        <w:topLinePunct w:val="0"/>
        <w:autoSpaceDE/>
        <w:autoSpaceDN/>
        <w:bidi w:val="0"/>
        <w:adjustRightInd/>
        <w:snapToGrid/>
        <w:spacing w:before="0" w:beforeLines="0" w:after="0" w:afterLines="0" w:line="240" w:lineRule="auto"/>
        <w:ind w:left="0" w:hanging="420" w:hangingChars="200"/>
        <w:textAlignment w:val="auto"/>
        <w:outlineLvl w:val="1"/>
        <w:rPr>
          <w:rFonts w:hint="eastAsia" w:ascii="黑体" w:hAnsi="黑体" w:eastAsia="黑体" w:cs="Times New Roman"/>
          <w:color w:val="000000"/>
          <w:kern w:val="0"/>
          <w:sz w:val="21"/>
          <w:szCs w:val="21"/>
          <w:lang w:val="en-US" w:eastAsia="zh-CN" w:bidi="ar-SA"/>
        </w:rPr>
      </w:pPr>
      <w:r>
        <w:rPr>
          <w:rFonts w:hint="eastAsia" w:ascii="黑体" w:hAnsi="黑体" w:eastAsia="黑体" w:cs="Times New Roman"/>
          <w:color w:val="000000"/>
          <w:kern w:val="0"/>
          <w:sz w:val="21"/>
          <w:szCs w:val="21"/>
          <w:lang w:val="en-US" w:eastAsia="zh-CN" w:bidi="ar-SA"/>
        </w:rPr>
        <w:t>3.11</w:t>
      </w:r>
    </w:p>
    <w:p w14:paraId="41BC8F6F">
      <w:pPr>
        <w:pStyle w:val="47"/>
        <w:keepNext w:val="0"/>
        <w:keepLines w:val="0"/>
        <w:pageBreakBefore w:val="0"/>
        <w:widowControl/>
        <w:numPr>
          <w:ilvl w:val="0"/>
          <w:numId w:val="0"/>
        </w:numPr>
        <w:kinsoku/>
        <w:wordWrap/>
        <w:overflowPunct/>
        <w:topLinePunct w:val="0"/>
        <w:bidi w:val="0"/>
        <w:adjustRightInd/>
        <w:snapToGrid/>
        <w:spacing w:before="0" w:beforeLines="0" w:after="0" w:afterLines="0" w:line="240" w:lineRule="auto"/>
        <w:ind w:left="420" w:leftChars="200" w:firstLine="0" w:firstLineChars="0"/>
        <w:textAlignment w:val="auto"/>
        <w:outlineLvl w:val="1"/>
        <w:rPr>
          <w:rFonts w:ascii="Times New Roman" w:eastAsia="宋体"/>
          <w:b/>
          <w:bCs/>
        </w:rPr>
      </w:pPr>
      <w:r>
        <w:rPr>
          <w:rFonts w:ascii="Times New Roman" w:eastAsia="宋体"/>
          <w:b/>
          <w:bCs/>
        </w:rPr>
        <w:t>共生产品 co-product</w:t>
      </w:r>
    </w:p>
    <w:p w14:paraId="060CBA3B">
      <w:pPr>
        <w:pStyle w:val="27"/>
        <w:keepNext w:val="0"/>
        <w:keepLines w:val="0"/>
        <w:pageBreakBefore w:val="0"/>
        <w:widowControl/>
        <w:kinsoku/>
        <w:wordWrap/>
        <w:overflowPunct/>
        <w:topLinePunct w:val="0"/>
        <w:bidi w:val="0"/>
        <w:adjustRightInd/>
        <w:snapToGrid/>
        <w:spacing w:line="240" w:lineRule="auto"/>
        <w:textAlignment w:val="auto"/>
        <w:rPr>
          <w:rFonts w:ascii="Times New Roman"/>
          <w:szCs w:val="21"/>
        </w:rPr>
      </w:pPr>
      <w:r>
        <w:rPr>
          <w:rFonts w:ascii="Times New Roman"/>
          <w:szCs w:val="21"/>
        </w:rPr>
        <w:t>同一单元过程或产品系统中产出的两种或两种以上的产品。</w:t>
      </w:r>
    </w:p>
    <w:p w14:paraId="40209A17">
      <w:pPr>
        <w:pStyle w:val="27"/>
        <w:keepNext w:val="0"/>
        <w:keepLines w:val="0"/>
        <w:pageBreakBefore w:val="0"/>
        <w:widowControl/>
        <w:kinsoku/>
        <w:wordWrap/>
        <w:overflowPunct/>
        <w:topLinePunct w:val="0"/>
        <w:bidi w:val="0"/>
        <w:adjustRightInd/>
        <w:snapToGrid/>
        <w:spacing w:line="240" w:lineRule="auto"/>
        <w:textAlignment w:val="auto"/>
        <w:rPr>
          <w:rFonts w:ascii="Times New Roman"/>
          <w:szCs w:val="21"/>
        </w:rPr>
      </w:pPr>
      <w:r>
        <w:rPr>
          <w:rFonts w:ascii="Times New Roman"/>
          <w:szCs w:val="21"/>
        </w:rPr>
        <w:t>[来源：</w:t>
      </w:r>
      <w:r>
        <w:rPr>
          <w:rFonts w:hint="eastAsia" w:ascii="Times New Roman"/>
          <w:szCs w:val="21"/>
        </w:rPr>
        <w:t>GB/T 24067</w:t>
      </w:r>
      <w:r>
        <w:rPr>
          <w:rFonts w:hint="eastAsia" w:ascii="Times New Roman"/>
          <w:szCs w:val="21"/>
          <w:lang w:val="en-US" w:eastAsia="zh-CN"/>
        </w:rPr>
        <w:t>-</w:t>
      </w:r>
      <w:r>
        <w:rPr>
          <w:rFonts w:hint="eastAsia" w:ascii="Times New Roman"/>
          <w:szCs w:val="21"/>
        </w:rPr>
        <w:t>2024</w:t>
      </w:r>
      <w:r>
        <w:rPr>
          <w:rFonts w:ascii="Times New Roman"/>
          <w:color w:val="000000"/>
        </w:rPr>
        <w:t>，3.</w:t>
      </w:r>
      <w:r>
        <w:rPr>
          <w:rFonts w:hint="eastAsia" w:ascii="Times New Roman"/>
          <w:color w:val="000000"/>
        </w:rPr>
        <w:t>3.3</w:t>
      </w:r>
      <w:r>
        <w:rPr>
          <w:rFonts w:ascii="Times New Roman"/>
          <w:szCs w:val="21"/>
        </w:rPr>
        <w:t>]</w:t>
      </w:r>
    </w:p>
    <w:p w14:paraId="17A9E64D">
      <w:pPr>
        <w:pStyle w:val="47"/>
        <w:keepNext w:val="0"/>
        <w:keepLines w:val="0"/>
        <w:pageBreakBefore w:val="0"/>
        <w:widowControl/>
        <w:numPr>
          <w:ilvl w:val="0"/>
          <w:numId w:val="0"/>
        </w:numPr>
        <w:kinsoku/>
        <w:wordWrap/>
        <w:overflowPunct/>
        <w:topLinePunct w:val="0"/>
        <w:autoSpaceDE/>
        <w:autoSpaceDN/>
        <w:bidi w:val="0"/>
        <w:adjustRightInd/>
        <w:snapToGrid/>
        <w:spacing w:before="0" w:beforeLines="0" w:after="0" w:afterLines="0" w:line="240" w:lineRule="auto"/>
        <w:ind w:left="0" w:hanging="420" w:hangingChars="200"/>
        <w:textAlignment w:val="auto"/>
        <w:outlineLvl w:val="1"/>
        <w:rPr>
          <w:rFonts w:hint="eastAsia" w:ascii="黑体" w:hAnsi="黑体" w:eastAsia="黑体" w:cs="Times New Roman"/>
          <w:color w:val="000000"/>
          <w:kern w:val="0"/>
          <w:sz w:val="21"/>
          <w:szCs w:val="21"/>
          <w:lang w:val="en-US" w:eastAsia="zh-CN" w:bidi="ar-SA"/>
        </w:rPr>
      </w:pPr>
      <w:r>
        <w:rPr>
          <w:rFonts w:hint="eastAsia" w:ascii="黑体" w:hAnsi="黑体" w:eastAsia="黑体" w:cs="Times New Roman"/>
          <w:color w:val="000000"/>
          <w:kern w:val="0"/>
          <w:sz w:val="21"/>
          <w:szCs w:val="21"/>
          <w:lang w:val="en-US" w:eastAsia="zh-CN" w:bidi="ar-SA"/>
        </w:rPr>
        <w:t>3.12</w:t>
      </w:r>
    </w:p>
    <w:p w14:paraId="669FF4A3">
      <w:pPr>
        <w:pStyle w:val="47"/>
        <w:keepNext w:val="0"/>
        <w:keepLines w:val="0"/>
        <w:pageBreakBefore w:val="0"/>
        <w:widowControl/>
        <w:numPr>
          <w:ilvl w:val="0"/>
          <w:numId w:val="0"/>
        </w:numPr>
        <w:kinsoku/>
        <w:wordWrap/>
        <w:overflowPunct/>
        <w:topLinePunct w:val="0"/>
        <w:bidi w:val="0"/>
        <w:adjustRightInd/>
        <w:snapToGrid/>
        <w:spacing w:before="0" w:beforeLines="0" w:after="0" w:afterLines="0" w:line="240" w:lineRule="auto"/>
        <w:ind w:left="420" w:leftChars="200" w:firstLine="0" w:firstLineChars="0"/>
        <w:textAlignment w:val="auto"/>
        <w:outlineLvl w:val="1"/>
        <w:rPr>
          <w:rFonts w:ascii="Times New Roman" w:eastAsia="宋体"/>
          <w:b/>
          <w:bCs/>
        </w:rPr>
      </w:pPr>
      <w:r>
        <w:rPr>
          <w:rFonts w:ascii="Times New Roman" w:eastAsia="宋体"/>
          <w:b/>
          <w:bCs/>
        </w:rPr>
        <w:t xml:space="preserve">系统边界 system boundary </w:t>
      </w:r>
    </w:p>
    <w:p w14:paraId="769341CE">
      <w:pPr>
        <w:pStyle w:val="27"/>
        <w:keepNext w:val="0"/>
        <w:keepLines w:val="0"/>
        <w:pageBreakBefore w:val="0"/>
        <w:widowControl/>
        <w:kinsoku/>
        <w:wordWrap/>
        <w:overflowPunct/>
        <w:topLinePunct w:val="0"/>
        <w:bidi w:val="0"/>
        <w:adjustRightInd/>
        <w:snapToGrid/>
        <w:spacing w:line="240" w:lineRule="auto"/>
        <w:ind w:firstLineChars="0"/>
        <w:textAlignment w:val="auto"/>
        <w:rPr>
          <w:rFonts w:ascii="Times New Roman"/>
          <w:szCs w:val="21"/>
        </w:rPr>
      </w:pPr>
      <w:r>
        <w:rPr>
          <w:rFonts w:ascii="Times New Roman"/>
          <w:szCs w:val="21"/>
        </w:rPr>
        <w:t>通过一组准则确定哪些单元过程属于产品系统的一部分。</w:t>
      </w:r>
    </w:p>
    <w:p w14:paraId="50E39FED">
      <w:pPr>
        <w:pStyle w:val="27"/>
        <w:keepNext w:val="0"/>
        <w:keepLines w:val="0"/>
        <w:pageBreakBefore w:val="0"/>
        <w:widowControl/>
        <w:kinsoku/>
        <w:wordWrap/>
        <w:overflowPunct/>
        <w:topLinePunct w:val="0"/>
        <w:bidi w:val="0"/>
        <w:adjustRightInd/>
        <w:snapToGrid/>
        <w:spacing w:line="240" w:lineRule="auto"/>
        <w:ind w:firstLineChars="0"/>
        <w:textAlignment w:val="auto"/>
        <w:rPr>
          <w:rFonts w:ascii="Times New Roman"/>
          <w:szCs w:val="21"/>
        </w:rPr>
      </w:pPr>
      <w:r>
        <w:rPr>
          <w:rFonts w:ascii="Times New Roman"/>
          <w:szCs w:val="21"/>
        </w:rPr>
        <w:t>[来源</w:t>
      </w:r>
      <w:r>
        <w:rPr>
          <w:rFonts w:hint="eastAsia" w:ascii="Times New Roman"/>
          <w:szCs w:val="21"/>
          <w:lang w:eastAsia="zh-CN"/>
        </w:rPr>
        <w:t>：</w:t>
      </w:r>
      <w:r>
        <w:rPr>
          <w:rFonts w:hint="eastAsia" w:ascii="Times New Roman"/>
          <w:szCs w:val="21"/>
        </w:rPr>
        <w:t>GB/T 24067</w:t>
      </w:r>
      <w:r>
        <w:rPr>
          <w:rFonts w:hint="eastAsia" w:ascii="Times New Roman"/>
          <w:szCs w:val="21"/>
          <w:lang w:val="en-US" w:eastAsia="zh-CN"/>
        </w:rPr>
        <w:t>-</w:t>
      </w:r>
      <w:r>
        <w:rPr>
          <w:rFonts w:hint="eastAsia" w:ascii="Times New Roman"/>
          <w:szCs w:val="21"/>
        </w:rPr>
        <w:t>2024</w:t>
      </w:r>
      <w:r>
        <w:rPr>
          <w:rFonts w:ascii="Times New Roman"/>
          <w:color w:val="000000"/>
        </w:rPr>
        <w:t>，3.</w:t>
      </w:r>
      <w:r>
        <w:rPr>
          <w:rFonts w:hint="eastAsia" w:ascii="Times New Roman"/>
          <w:color w:val="000000"/>
        </w:rPr>
        <w:t>3.4</w:t>
      </w:r>
      <w:r>
        <w:rPr>
          <w:rFonts w:ascii="Times New Roman"/>
          <w:szCs w:val="21"/>
        </w:rPr>
        <w:t>]</w:t>
      </w:r>
    </w:p>
    <w:p w14:paraId="62840507">
      <w:pPr>
        <w:pStyle w:val="47"/>
        <w:keepNext w:val="0"/>
        <w:keepLines w:val="0"/>
        <w:pageBreakBefore w:val="0"/>
        <w:widowControl/>
        <w:numPr>
          <w:ilvl w:val="0"/>
          <w:numId w:val="0"/>
        </w:numPr>
        <w:kinsoku/>
        <w:wordWrap/>
        <w:overflowPunct/>
        <w:topLinePunct w:val="0"/>
        <w:autoSpaceDE/>
        <w:autoSpaceDN/>
        <w:bidi w:val="0"/>
        <w:adjustRightInd/>
        <w:snapToGrid/>
        <w:spacing w:before="0" w:beforeLines="0" w:after="0" w:afterLines="0" w:line="240" w:lineRule="auto"/>
        <w:ind w:left="0" w:hanging="420" w:hangingChars="200"/>
        <w:textAlignment w:val="auto"/>
        <w:outlineLvl w:val="1"/>
        <w:rPr>
          <w:rFonts w:hint="eastAsia" w:ascii="黑体" w:hAnsi="黑体" w:eastAsia="黑体" w:cs="Times New Roman"/>
          <w:color w:val="000000"/>
          <w:kern w:val="0"/>
          <w:sz w:val="21"/>
          <w:szCs w:val="21"/>
          <w:lang w:val="en-US" w:eastAsia="zh-CN" w:bidi="ar-SA"/>
        </w:rPr>
      </w:pPr>
      <w:r>
        <w:rPr>
          <w:rFonts w:hint="eastAsia" w:ascii="黑体" w:hAnsi="黑体" w:eastAsia="黑体" w:cs="Times New Roman"/>
          <w:color w:val="000000"/>
          <w:kern w:val="0"/>
          <w:sz w:val="21"/>
          <w:szCs w:val="21"/>
          <w:lang w:val="en-US" w:eastAsia="zh-CN" w:bidi="ar-SA"/>
        </w:rPr>
        <w:t>3.13</w:t>
      </w:r>
    </w:p>
    <w:p w14:paraId="0EE109E6">
      <w:pPr>
        <w:pStyle w:val="47"/>
        <w:keepNext w:val="0"/>
        <w:keepLines w:val="0"/>
        <w:pageBreakBefore w:val="0"/>
        <w:widowControl/>
        <w:numPr>
          <w:ilvl w:val="0"/>
          <w:numId w:val="0"/>
        </w:numPr>
        <w:kinsoku/>
        <w:wordWrap/>
        <w:overflowPunct/>
        <w:topLinePunct w:val="0"/>
        <w:bidi w:val="0"/>
        <w:adjustRightInd/>
        <w:snapToGrid/>
        <w:spacing w:before="0" w:beforeLines="0" w:after="0" w:afterLines="0" w:line="240" w:lineRule="auto"/>
        <w:ind w:left="420" w:leftChars="200" w:firstLine="0" w:firstLineChars="0"/>
        <w:textAlignment w:val="auto"/>
        <w:outlineLvl w:val="1"/>
        <w:rPr>
          <w:rFonts w:ascii="Times New Roman" w:hAnsi="Times New Roman" w:eastAsia="宋体" w:cs="Times New Roman"/>
          <w:b/>
          <w:bCs/>
        </w:rPr>
      </w:pPr>
      <w:r>
        <w:rPr>
          <w:rFonts w:hint="eastAsia" w:ascii="Times New Roman" w:hAnsi="Times New Roman" w:eastAsia="宋体" w:cs="Times New Roman"/>
          <w:b/>
          <w:bCs/>
        </w:rPr>
        <w:t>单元过程</w:t>
      </w:r>
      <w:r>
        <w:rPr>
          <w:rFonts w:ascii="Times New Roman" w:hAnsi="Times New Roman" w:eastAsia="宋体" w:cs="Times New Roman"/>
          <w:b/>
          <w:bCs/>
        </w:rPr>
        <w:t xml:space="preserve"> unit process</w:t>
      </w:r>
    </w:p>
    <w:p w14:paraId="39C97CE4">
      <w:pPr>
        <w:pStyle w:val="27"/>
        <w:keepNext w:val="0"/>
        <w:keepLines w:val="0"/>
        <w:pageBreakBefore w:val="0"/>
        <w:widowControl/>
        <w:kinsoku/>
        <w:wordWrap/>
        <w:overflowPunct/>
        <w:topLinePunct w:val="0"/>
        <w:bidi w:val="0"/>
        <w:adjustRightInd/>
        <w:snapToGrid/>
        <w:spacing w:line="240" w:lineRule="auto"/>
        <w:ind w:firstLineChars="0"/>
        <w:textAlignment w:val="auto"/>
        <w:rPr>
          <w:rFonts w:ascii="Times New Roman" w:hAnsi="Times New Roman" w:eastAsia="宋体" w:cs="Times New Roman"/>
          <w:szCs w:val="21"/>
        </w:rPr>
      </w:pPr>
      <w:r>
        <w:rPr>
          <w:rFonts w:hint="eastAsia" w:ascii="Times New Roman" w:hAnsi="Times New Roman" w:eastAsia="宋体" w:cs="Times New Roman"/>
          <w:szCs w:val="21"/>
        </w:rPr>
        <w:t>进行生命周期清单分析时为量化输入和输出数据而确定的最基本部分</w:t>
      </w:r>
      <w:r>
        <w:rPr>
          <w:rFonts w:ascii="Times New Roman" w:hAnsi="Times New Roman" w:eastAsia="宋体" w:cs="Times New Roman"/>
          <w:szCs w:val="21"/>
        </w:rPr>
        <w:t>。</w:t>
      </w:r>
    </w:p>
    <w:p w14:paraId="57A8EA93">
      <w:pPr>
        <w:pStyle w:val="27"/>
        <w:keepNext w:val="0"/>
        <w:keepLines w:val="0"/>
        <w:pageBreakBefore w:val="0"/>
        <w:widowControl/>
        <w:kinsoku/>
        <w:wordWrap/>
        <w:overflowPunct/>
        <w:topLinePunct w:val="0"/>
        <w:bidi w:val="0"/>
        <w:adjustRightInd/>
        <w:snapToGrid/>
        <w:spacing w:line="240" w:lineRule="auto"/>
        <w:ind w:firstLineChars="0"/>
        <w:textAlignment w:val="auto"/>
        <w:rPr>
          <w:rFonts w:hint="default"/>
          <w:lang w:val="en-US" w:eastAsia="zh-CN"/>
        </w:rPr>
      </w:pPr>
      <w:r>
        <w:rPr>
          <w:rFonts w:ascii="Times New Roman" w:hAnsi="Times New Roman" w:eastAsia="宋体" w:cs="Times New Roman"/>
          <w:szCs w:val="21"/>
        </w:rPr>
        <w:t>[</w:t>
      </w:r>
      <w:r>
        <w:rPr>
          <w:rFonts w:hint="eastAsia" w:ascii="Times New Roman" w:hAnsi="Times New Roman" w:eastAsia="宋体" w:cs="Times New Roman"/>
          <w:szCs w:val="21"/>
        </w:rPr>
        <w:t>来源：GB/T 24067</w:t>
      </w: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rPr>
        <w:t>2024，3.3.</w:t>
      </w:r>
      <w:r>
        <w:rPr>
          <w:rFonts w:hint="eastAsia" w:ascii="Times New Roman" w:hAnsi="Times New Roman" w:eastAsia="宋体" w:cs="Times New Roman"/>
          <w:szCs w:val="21"/>
          <w:lang w:val="en-US" w:eastAsia="zh-CN"/>
        </w:rPr>
        <w:t>6</w:t>
      </w:r>
      <w:r>
        <w:rPr>
          <w:rFonts w:ascii="Times New Roman" w:hAnsi="Times New Roman" w:eastAsia="宋体" w:cs="Times New Roman"/>
          <w:szCs w:val="21"/>
        </w:rPr>
        <w:t>]</w:t>
      </w:r>
    </w:p>
    <w:p w14:paraId="7C3ED76F">
      <w:pPr>
        <w:pStyle w:val="47"/>
        <w:keepNext w:val="0"/>
        <w:keepLines w:val="0"/>
        <w:pageBreakBefore w:val="0"/>
        <w:widowControl/>
        <w:numPr>
          <w:ilvl w:val="0"/>
          <w:numId w:val="0"/>
        </w:numPr>
        <w:kinsoku/>
        <w:wordWrap/>
        <w:overflowPunct/>
        <w:topLinePunct w:val="0"/>
        <w:autoSpaceDE/>
        <w:autoSpaceDN/>
        <w:bidi w:val="0"/>
        <w:adjustRightInd/>
        <w:snapToGrid/>
        <w:spacing w:before="0" w:beforeLines="0" w:after="0" w:afterLines="0" w:line="240" w:lineRule="auto"/>
        <w:ind w:left="0" w:hanging="420" w:hangingChars="200"/>
        <w:textAlignment w:val="auto"/>
        <w:outlineLvl w:val="1"/>
        <w:rPr>
          <w:rFonts w:hint="eastAsia" w:ascii="黑体" w:hAnsi="黑体" w:eastAsia="黑体" w:cs="Times New Roman"/>
          <w:color w:val="000000"/>
          <w:kern w:val="0"/>
          <w:sz w:val="21"/>
          <w:szCs w:val="21"/>
          <w:lang w:val="en-US" w:eastAsia="zh-CN" w:bidi="ar-SA"/>
        </w:rPr>
      </w:pPr>
      <w:r>
        <w:rPr>
          <w:rFonts w:hint="eastAsia" w:ascii="黑体" w:hAnsi="黑体" w:eastAsia="黑体" w:cs="Times New Roman"/>
          <w:color w:val="000000"/>
          <w:kern w:val="0"/>
          <w:sz w:val="21"/>
          <w:szCs w:val="21"/>
          <w:lang w:val="en-US" w:eastAsia="zh-CN" w:bidi="ar-SA"/>
        </w:rPr>
        <w:t>3.14</w:t>
      </w:r>
    </w:p>
    <w:p w14:paraId="26DF0A0A">
      <w:pPr>
        <w:pStyle w:val="47"/>
        <w:keepNext w:val="0"/>
        <w:keepLines w:val="0"/>
        <w:pageBreakBefore w:val="0"/>
        <w:widowControl/>
        <w:numPr>
          <w:ilvl w:val="0"/>
          <w:numId w:val="0"/>
        </w:numPr>
        <w:kinsoku/>
        <w:wordWrap/>
        <w:overflowPunct/>
        <w:topLinePunct w:val="0"/>
        <w:bidi w:val="0"/>
        <w:adjustRightInd/>
        <w:snapToGrid/>
        <w:spacing w:before="0" w:beforeLines="0" w:after="0" w:afterLines="0" w:line="240" w:lineRule="auto"/>
        <w:ind w:left="420" w:leftChars="200" w:firstLine="0" w:firstLineChars="0"/>
        <w:textAlignment w:val="auto"/>
        <w:outlineLvl w:val="1"/>
        <w:rPr>
          <w:rFonts w:ascii="Times New Roman" w:eastAsia="宋体"/>
          <w:b/>
          <w:bCs/>
        </w:rPr>
      </w:pPr>
      <w:r>
        <w:rPr>
          <w:rFonts w:ascii="Times New Roman" w:eastAsia="宋体"/>
          <w:b/>
          <w:bCs/>
        </w:rPr>
        <w:t xml:space="preserve">功能单位 functional unit </w:t>
      </w:r>
    </w:p>
    <w:p w14:paraId="6505FC96">
      <w:pPr>
        <w:pStyle w:val="27"/>
        <w:keepNext w:val="0"/>
        <w:keepLines w:val="0"/>
        <w:pageBreakBefore w:val="0"/>
        <w:widowControl/>
        <w:kinsoku/>
        <w:wordWrap/>
        <w:overflowPunct/>
        <w:topLinePunct w:val="0"/>
        <w:bidi w:val="0"/>
        <w:adjustRightInd/>
        <w:snapToGrid/>
        <w:spacing w:line="240" w:lineRule="auto"/>
        <w:ind w:firstLineChars="0"/>
        <w:textAlignment w:val="auto"/>
        <w:rPr>
          <w:rFonts w:ascii="Times New Roman"/>
          <w:szCs w:val="21"/>
        </w:rPr>
      </w:pPr>
      <w:r>
        <w:rPr>
          <w:rFonts w:ascii="Times New Roman"/>
          <w:szCs w:val="21"/>
        </w:rPr>
        <w:t>用来量化产品系统功能的基准单位。</w:t>
      </w:r>
    </w:p>
    <w:p w14:paraId="77DE7F0D">
      <w:pPr>
        <w:pStyle w:val="27"/>
        <w:keepNext w:val="0"/>
        <w:keepLines w:val="0"/>
        <w:pageBreakBefore w:val="0"/>
        <w:widowControl/>
        <w:kinsoku/>
        <w:wordWrap/>
        <w:overflowPunct/>
        <w:topLinePunct w:val="0"/>
        <w:bidi w:val="0"/>
        <w:adjustRightInd/>
        <w:snapToGrid/>
        <w:spacing w:line="240" w:lineRule="auto"/>
        <w:ind w:firstLineChars="0"/>
        <w:textAlignment w:val="auto"/>
        <w:rPr>
          <w:rFonts w:ascii="Times New Roman"/>
          <w:szCs w:val="21"/>
        </w:rPr>
      </w:pPr>
      <w:r>
        <w:rPr>
          <w:rFonts w:ascii="Times New Roman"/>
          <w:szCs w:val="21"/>
        </w:rPr>
        <w:t>[来源：</w:t>
      </w:r>
      <w:r>
        <w:rPr>
          <w:rFonts w:hint="eastAsia" w:ascii="Times New Roman"/>
          <w:szCs w:val="21"/>
        </w:rPr>
        <w:t>GB/T 24067</w:t>
      </w:r>
      <w:r>
        <w:rPr>
          <w:rFonts w:hint="eastAsia" w:ascii="Times New Roman"/>
          <w:szCs w:val="21"/>
          <w:lang w:val="en-US" w:eastAsia="zh-CN"/>
        </w:rPr>
        <w:t>-</w:t>
      </w:r>
      <w:r>
        <w:rPr>
          <w:rFonts w:hint="eastAsia" w:ascii="Times New Roman"/>
          <w:szCs w:val="21"/>
        </w:rPr>
        <w:t>2024</w:t>
      </w:r>
      <w:r>
        <w:rPr>
          <w:rFonts w:ascii="Times New Roman"/>
          <w:color w:val="000000"/>
        </w:rPr>
        <w:t>，3.</w:t>
      </w:r>
      <w:r>
        <w:rPr>
          <w:rFonts w:hint="eastAsia" w:ascii="Times New Roman"/>
          <w:color w:val="000000"/>
        </w:rPr>
        <w:t>3</w:t>
      </w:r>
      <w:r>
        <w:rPr>
          <w:rFonts w:ascii="Times New Roman"/>
          <w:color w:val="000000"/>
        </w:rPr>
        <w:t>.7</w:t>
      </w:r>
      <w:r>
        <w:rPr>
          <w:rFonts w:ascii="Times New Roman"/>
          <w:szCs w:val="21"/>
        </w:rPr>
        <w:t>]</w:t>
      </w:r>
    </w:p>
    <w:p w14:paraId="7F3F620B">
      <w:pPr>
        <w:pStyle w:val="47"/>
        <w:keepNext w:val="0"/>
        <w:keepLines w:val="0"/>
        <w:pageBreakBefore w:val="0"/>
        <w:widowControl/>
        <w:numPr>
          <w:ilvl w:val="0"/>
          <w:numId w:val="0"/>
        </w:numPr>
        <w:kinsoku/>
        <w:wordWrap/>
        <w:overflowPunct/>
        <w:topLinePunct w:val="0"/>
        <w:autoSpaceDE/>
        <w:autoSpaceDN/>
        <w:bidi w:val="0"/>
        <w:adjustRightInd/>
        <w:snapToGrid/>
        <w:spacing w:before="0" w:beforeLines="0" w:after="0" w:afterLines="0" w:line="240" w:lineRule="auto"/>
        <w:ind w:left="0" w:hanging="420" w:hangingChars="200"/>
        <w:textAlignment w:val="auto"/>
        <w:outlineLvl w:val="1"/>
        <w:rPr>
          <w:rFonts w:hint="eastAsia" w:ascii="黑体" w:hAnsi="黑体" w:eastAsia="黑体" w:cs="Times New Roman"/>
          <w:color w:val="000000"/>
          <w:kern w:val="0"/>
          <w:sz w:val="21"/>
          <w:szCs w:val="21"/>
          <w:lang w:val="en-US" w:eastAsia="zh-CN" w:bidi="ar-SA"/>
        </w:rPr>
      </w:pPr>
      <w:r>
        <w:rPr>
          <w:rFonts w:hint="eastAsia" w:ascii="黑体" w:hAnsi="黑体" w:eastAsia="黑体" w:cs="Times New Roman"/>
          <w:color w:val="000000"/>
          <w:kern w:val="0"/>
          <w:sz w:val="21"/>
          <w:szCs w:val="21"/>
          <w:lang w:val="en-US" w:eastAsia="zh-CN" w:bidi="ar-SA"/>
        </w:rPr>
        <w:t>3.15</w:t>
      </w:r>
    </w:p>
    <w:p w14:paraId="59EA2F34">
      <w:pPr>
        <w:pStyle w:val="47"/>
        <w:keepNext w:val="0"/>
        <w:keepLines w:val="0"/>
        <w:pageBreakBefore w:val="0"/>
        <w:widowControl/>
        <w:numPr>
          <w:ilvl w:val="0"/>
          <w:numId w:val="0"/>
        </w:numPr>
        <w:kinsoku/>
        <w:wordWrap/>
        <w:overflowPunct/>
        <w:topLinePunct w:val="0"/>
        <w:bidi w:val="0"/>
        <w:adjustRightInd/>
        <w:snapToGrid/>
        <w:spacing w:before="0" w:beforeLines="0" w:after="0" w:afterLines="0" w:line="240" w:lineRule="auto"/>
        <w:ind w:left="420" w:leftChars="200" w:firstLine="0" w:firstLineChars="0"/>
        <w:textAlignment w:val="auto"/>
        <w:outlineLvl w:val="1"/>
        <w:rPr>
          <w:rFonts w:ascii="Times New Roman" w:eastAsia="宋体"/>
          <w:b/>
          <w:bCs/>
        </w:rPr>
      </w:pPr>
      <w:r>
        <w:rPr>
          <w:rFonts w:ascii="Times New Roman" w:eastAsia="宋体"/>
          <w:b/>
          <w:bCs/>
        </w:rPr>
        <w:t>声明单位 declared unit</w:t>
      </w:r>
    </w:p>
    <w:p w14:paraId="70EF9F1A">
      <w:pPr>
        <w:pStyle w:val="27"/>
        <w:keepNext w:val="0"/>
        <w:keepLines w:val="0"/>
        <w:pageBreakBefore w:val="0"/>
        <w:widowControl/>
        <w:kinsoku/>
        <w:wordWrap/>
        <w:overflowPunct/>
        <w:topLinePunct w:val="0"/>
        <w:bidi w:val="0"/>
        <w:adjustRightInd/>
        <w:snapToGrid/>
        <w:spacing w:line="240" w:lineRule="auto"/>
        <w:ind w:firstLineChars="0"/>
        <w:textAlignment w:val="auto"/>
        <w:rPr>
          <w:rFonts w:ascii="Times New Roman"/>
          <w:szCs w:val="21"/>
        </w:rPr>
      </w:pPr>
      <w:r>
        <w:rPr>
          <w:rFonts w:ascii="Times New Roman"/>
          <w:szCs w:val="21"/>
        </w:rPr>
        <w:t>用来量化产品部分碳足迹的基准单位。</w:t>
      </w:r>
    </w:p>
    <w:p w14:paraId="176AC93E">
      <w:pPr>
        <w:pStyle w:val="27"/>
        <w:keepNext w:val="0"/>
        <w:keepLines w:val="0"/>
        <w:pageBreakBefore w:val="0"/>
        <w:widowControl/>
        <w:kinsoku/>
        <w:wordWrap/>
        <w:overflowPunct/>
        <w:topLinePunct w:val="0"/>
        <w:bidi w:val="0"/>
        <w:adjustRightInd/>
        <w:snapToGrid/>
        <w:spacing w:line="240" w:lineRule="auto"/>
        <w:ind w:firstLineChars="0"/>
        <w:textAlignment w:val="auto"/>
        <w:rPr>
          <w:rFonts w:ascii="Times New Roman"/>
          <w:szCs w:val="21"/>
        </w:rPr>
      </w:pPr>
      <w:r>
        <w:rPr>
          <w:rFonts w:ascii="Times New Roman"/>
          <w:szCs w:val="21"/>
        </w:rPr>
        <w:t>[来源：</w:t>
      </w:r>
      <w:r>
        <w:rPr>
          <w:rFonts w:hint="eastAsia" w:ascii="Times New Roman"/>
          <w:szCs w:val="21"/>
        </w:rPr>
        <w:t>GB/T 24067</w:t>
      </w:r>
      <w:r>
        <w:rPr>
          <w:rFonts w:hint="eastAsia" w:ascii="Times New Roman"/>
          <w:szCs w:val="21"/>
          <w:lang w:val="en-US" w:eastAsia="zh-CN"/>
        </w:rPr>
        <w:t>-</w:t>
      </w:r>
      <w:r>
        <w:rPr>
          <w:rFonts w:hint="eastAsia" w:ascii="Times New Roman"/>
          <w:szCs w:val="21"/>
        </w:rPr>
        <w:t>2024</w:t>
      </w:r>
      <w:r>
        <w:rPr>
          <w:rFonts w:ascii="Times New Roman"/>
          <w:color w:val="000000"/>
        </w:rPr>
        <w:t>，3.</w:t>
      </w:r>
      <w:r>
        <w:rPr>
          <w:rFonts w:hint="eastAsia" w:ascii="Times New Roman"/>
          <w:color w:val="000000"/>
        </w:rPr>
        <w:t>3.8</w:t>
      </w:r>
      <w:r>
        <w:rPr>
          <w:rFonts w:ascii="Times New Roman"/>
          <w:szCs w:val="21"/>
        </w:rPr>
        <w:t>]</w:t>
      </w:r>
    </w:p>
    <w:p w14:paraId="5F51949E">
      <w:pPr>
        <w:pStyle w:val="47"/>
        <w:keepNext w:val="0"/>
        <w:keepLines w:val="0"/>
        <w:pageBreakBefore w:val="0"/>
        <w:widowControl/>
        <w:numPr>
          <w:ilvl w:val="0"/>
          <w:numId w:val="0"/>
        </w:numPr>
        <w:kinsoku/>
        <w:wordWrap/>
        <w:overflowPunct/>
        <w:topLinePunct w:val="0"/>
        <w:autoSpaceDE/>
        <w:autoSpaceDN/>
        <w:bidi w:val="0"/>
        <w:adjustRightInd/>
        <w:snapToGrid/>
        <w:spacing w:before="0" w:beforeLines="0" w:after="0" w:afterLines="0" w:line="240" w:lineRule="auto"/>
        <w:ind w:left="0" w:hanging="420" w:hangingChars="200"/>
        <w:textAlignment w:val="auto"/>
        <w:outlineLvl w:val="1"/>
        <w:rPr>
          <w:rFonts w:hint="eastAsia" w:ascii="黑体" w:hAnsi="黑体" w:eastAsia="黑体" w:cs="Times New Roman"/>
          <w:color w:val="000000"/>
          <w:kern w:val="0"/>
          <w:sz w:val="21"/>
          <w:szCs w:val="21"/>
          <w:lang w:val="en-US" w:eastAsia="zh-CN" w:bidi="ar-SA"/>
        </w:rPr>
      </w:pPr>
      <w:bookmarkStart w:id="13" w:name="_Toc28543"/>
      <w:bookmarkStart w:id="14" w:name="_Toc17727"/>
      <w:bookmarkStart w:id="15" w:name="_Toc1221"/>
      <w:r>
        <w:rPr>
          <w:rFonts w:hint="eastAsia" w:ascii="黑体" w:hAnsi="黑体" w:eastAsia="黑体" w:cs="Times New Roman"/>
          <w:color w:val="000000"/>
          <w:kern w:val="0"/>
          <w:sz w:val="21"/>
          <w:szCs w:val="21"/>
          <w:lang w:val="en-US" w:eastAsia="zh-CN" w:bidi="ar-SA"/>
        </w:rPr>
        <w:t>3.16</w:t>
      </w:r>
    </w:p>
    <w:p w14:paraId="4E83436C">
      <w:pPr>
        <w:pStyle w:val="47"/>
        <w:keepNext w:val="0"/>
        <w:keepLines w:val="0"/>
        <w:pageBreakBefore w:val="0"/>
        <w:widowControl/>
        <w:numPr>
          <w:ilvl w:val="0"/>
          <w:numId w:val="0"/>
        </w:numPr>
        <w:kinsoku/>
        <w:wordWrap/>
        <w:overflowPunct/>
        <w:topLinePunct w:val="0"/>
        <w:bidi w:val="0"/>
        <w:adjustRightInd/>
        <w:snapToGrid/>
        <w:spacing w:before="0" w:beforeLines="0" w:after="0" w:afterLines="0" w:line="240" w:lineRule="auto"/>
        <w:ind w:left="420" w:leftChars="200" w:firstLine="0" w:firstLineChars="0"/>
        <w:textAlignment w:val="auto"/>
        <w:outlineLvl w:val="1"/>
        <w:rPr>
          <w:rFonts w:ascii="Times New Roman" w:eastAsia="宋体"/>
          <w:b/>
          <w:bCs/>
        </w:rPr>
      </w:pPr>
      <w:r>
        <w:rPr>
          <w:rFonts w:ascii="Times New Roman" w:eastAsia="宋体"/>
          <w:b/>
          <w:bCs/>
        </w:rPr>
        <w:t>初级数据 primary data</w:t>
      </w:r>
    </w:p>
    <w:p w14:paraId="7EBD5858">
      <w:pPr>
        <w:pStyle w:val="27"/>
        <w:keepNext w:val="0"/>
        <w:keepLines w:val="0"/>
        <w:pageBreakBefore w:val="0"/>
        <w:widowControl/>
        <w:kinsoku/>
        <w:wordWrap/>
        <w:overflowPunct/>
        <w:topLinePunct w:val="0"/>
        <w:bidi w:val="0"/>
        <w:adjustRightInd/>
        <w:snapToGrid/>
        <w:spacing w:line="240" w:lineRule="auto"/>
        <w:ind w:firstLineChars="0"/>
        <w:textAlignment w:val="auto"/>
        <w:rPr>
          <w:rFonts w:ascii="Times New Roman"/>
          <w:szCs w:val="21"/>
        </w:rPr>
      </w:pPr>
      <w:r>
        <w:rPr>
          <w:rFonts w:ascii="Times New Roman"/>
          <w:szCs w:val="21"/>
        </w:rPr>
        <w:t>通过直接测量或基于直接测量的计算得到的过程或活动的量化值。</w:t>
      </w:r>
    </w:p>
    <w:p w14:paraId="5FCC184A">
      <w:pPr>
        <w:pStyle w:val="27"/>
        <w:keepNext w:val="0"/>
        <w:keepLines w:val="0"/>
        <w:pageBreakBefore w:val="0"/>
        <w:widowControl/>
        <w:kinsoku/>
        <w:wordWrap/>
        <w:overflowPunct/>
        <w:topLinePunct w:val="0"/>
        <w:bidi w:val="0"/>
        <w:adjustRightInd/>
        <w:snapToGrid/>
        <w:spacing w:line="240" w:lineRule="auto"/>
        <w:ind w:firstLineChars="0"/>
        <w:textAlignment w:val="auto"/>
        <w:rPr>
          <w:rFonts w:ascii="Times New Roman"/>
          <w:szCs w:val="21"/>
        </w:rPr>
      </w:pPr>
      <w:r>
        <w:rPr>
          <w:rFonts w:ascii="Times New Roman" w:eastAsia="黑体"/>
          <w:szCs w:val="21"/>
        </w:rPr>
        <w:t>注1：</w:t>
      </w:r>
      <w:r>
        <w:rPr>
          <w:rFonts w:ascii="Times New Roman"/>
          <w:szCs w:val="21"/>
        </w:rPr>
        <w:t>初级数据并非必须来自所研究的产品系统，因为初级数据可能涉及其他与所研究的产品系统具有可比性的产品系统。</w:t>
      </w:r>
    </w:p>
    <w:p w14:paraId="4DA3CDFD">
      <w:pPr>
        <w:pStyle w:val="27"/>
        <w:keepNext w:val="0"/>
        <w:keepLines w:val="0"/>
        <w:pageBreakBefore w:val="0"/>
        <w:widowControl/>
        <w:kinsoku/>
        <w:wordWrap/>
        <w:overflowPunct/>
        <w:topLinePunct w:val="0"/>
        <w:bidi w:val="0"/>
        <w:adjustRightInd/>
        <w:snapToGrid/>
        <w:spacing w:line="240" w:lineRule="auto"/>
        <w:ind w:firstLineChars="0"/>
        <w:textAlignment w:val="auto"/>
        <w:rPr>
          <w:rFonts w:ascii="Times New Roman"/>
          <w:szCs w:val="21"/>
        </w:rPr>
      </w:pPr>
      <w:r>
        <w:rPr>
          <w:rFonts w:ascii="Times New Roman" w:eastAsia="黑体"/>
          <w:szCs w:val="21"/>
        </w:rPr>
        <w:t>注2：</w:t>
      </w:r>
      <w:r>
        <w:rPr>
          <w:rFonts w:ascii="Times New Roman"/>
          <w:szCs w:val="21"/>
        </w:rPr>
        <w:t>初级数据可以包括温室气体排放因子或温室气体活动数据。</w:t>
      </w:r>
    </w:p>
    <w:p w14:paraId="3F05BB45">
      <w:pPr>
        <w:pStyle w:val="27"/>
        <w:keepNext w:val="0"/>
        <w:keepLines w:val="0"/>
        <w:pageBreakBefore w:val="0"/>
        <w:widowControl/>
        <w:kinsoku/>
        <w:wordWrap/>
        <w:overflowPunct/>
        <w:topLinePunct w:val="0"/>
        <w:bidi w:val="0"/>
        <w:adjustRightInd/>
        <w:snapToGrid/>
        <w:spacing w:line="240" w:lineRule="auto"/>
        <w:ind w:firstLineChars="0"/>
        <w:textAlignment w:val="auto"/>
        <w:rPr>
          <w:rFonts w:ascii="Times New Roman"/>
          <w:szCs w:val="21"/>
        </w:rPr>
      </w:pPr>
      <w:r>
        <w:rPr>
          <w:rFonts w:ascii="Times New Roman"/>
          <w:szCs w:val="21"/>
        </w:rPr>
        <w:t>[来源：</w:t>
      </w:r>
      <w:r>
        <w:rPr>
          <w:rFonts w:hint="eastAsia" w:ascii="Times New Roman"/>
          <w:szCs w:val="21"/>
        </w:rPr>
        <w:t>GB/T 24067</w:t>
      </w:r>
      <w:r>
        <w:rPr>
          <w:rFonts w:hint="eastAsia" w:ascii="Times New Roman"/>
          <w:szCs w:val="21"/>
          <w:lang w:val="en-US" w:eastAsia="zh-CN"/>
        </w:rPr>
        <w:t>-</w:t>
      </w:r>
      <w:r>
        <w:rPr>
          <w:rFonts w:hint="eastAsia" w:ascii="Times New Roman"/>
          <w:szCs w:val="21"/>
        </w:rPr>
        <w:t>2024</w:t>
      </w:r>
      <w:r>
        <w:rPr>
          <w:rFonts w:ascii="Times New Roman"/>
          <w:szCs w:val="21"/>
        </w:rPr>
        <w:t>，3.6.1]</w:t>
      </w:r>
    </w:p>
    <w:p w14:paraId="1763D5E0">
      <w:pPr>
        <w:pStyle w:val="47"/>
        <w:keepNext w:val="0"/>
        <w:keepLines w:val="0"/>
        <w:pageBreakBefore w:val="0"/>
        <w:widowControl/>
        <w:numPr>
          <w:ilvl w:val="0"/>
          <w:numId w:val="0"/>
        </w:numPr>
        <w:kinsoku/>
        <w:wordWrap/>
        <w:overflowPunct/>
        <w:topLinePunct w:val="0"/>
        <w:autoSpaceDE/>
        <w:autoSpaceDN/>
        <w:bidi w:val="0"/>
        <w:adjustRightInd/>
        <w:snapToGrid/>
        <w:spacing w:before="0" w:beforeLines="0" w:after="0" w:afterLines="0" w:line="240" w:lineRule="auto"/>
        <w:ind w:left="0" w:hanging="420" w:hangingChars="200"/>
        <w:textAlignment w:val="auto"/>
        <w:outlineLvl w:val="1"/>
        <w:rPr>
          <w:rFonts w:hint="eastAsia" w:ascii="黑体" w:hAnsi="黑体" w:eastAsia="黑体" w:cs="Times New Roman"/>
          <w:color w:val="000000"/>
          <w:kern w:val="0"/>
          <w:sz w:val="21"/>
          <w:szCs w:val="21"/>
          <w:lang w:val="en-US" w:eastAsia="zh-CN" w:bidi="ar-SA"/>
        </w:rPr>
      </w:pPr>
      <w:r>
        <w:rPr>
          <w:rFonts w:hint="eastAsia" w:ascii="黑体" w:hAnsi="黑体" w:eastAsia="黑体" w:cs="Times New Roman"/>
          <w:color w:val="000000"/>
          <w:kern w:val="0"/>
          <w:sz w:val="21"/>
          <w:szCs w:val="21"/>
          <w:lang w:val="en-US" w:eastAsia="zh-CN" w:bidi="ar-SA"/>
        </w:rPr>
        <w:t>3.17</w:t>
      </w:r>
    </w:p>
    <w:p w14:paraId="0F19E1DC">
      <w:pPr>
        <w:pStyle w:val="47"/>
        <w:keepNext w:val="0"/>
        <w:keepLines w:val="0"/>
        <w:pageBreakBefore w:val="0"/>
        <w:widowControl/>
        <w:numPr>
          <w:ilvl w:val="0"/>
          <w:numId w:val="0"/>
        </w:numPr>
        <w:kinsoku/>
        <w:wordWrap/>
        <w:overflowPunct/>
        <w:topLinePunct w:val="0"/>
        <w:bidi w:val="0"/>
        <w:adjustRightInd/>
        <w:snapToGrid/>
        <w:spacing w:before="0" w:beforeLines="0" w:after="0" w:afterLines="0" w:line="240" w:lineRule="auto"/>
        <w:ind w:left="420" w:leftChars="200" w:firstLine="0" w:firstLineChars="0"/>
        <w:textAlignment w:val="auto"/>
        <w:outlineLvl w:val="1"/>
        <w:rPr>
          <w:rFonts w:ascii="Times New Roman" w:eastAsia="宋体"/>
          <w:b/>
          <w:bCs/>
        </w:rPr>
      </w:pPr>
      <w:r>
        <w:rPr>
          <w:rFonts w:ascii="Times New Roman" w:eastAsia="宋体"/>
          <w:b/>
          <w:bCs/>
        </w:rPr>
        <w:t xml:space="preserve">现场数据site-specific data </w:t>
      </w:r>
    </w:p>
    <w:p w14:paraId="6228FBA7">
      <w:pPr>
        <w:pStyle w:val="47"/>
        <w:keepNext w:val="0"/>
        <w:keepLines w:val="0"/>
        <w:pageBreakBefore w:val="0"/>
        <w:widowControl/>
        <w:numPr>
          <w:ilvl w:val="1"/>
          <w:numId w:val="0"/>
        </w:numPr>
        <w:kinsoku/>
        <w:wordWrap/>
        <w:overflowPunct/>
        <w:topLinePunct w:val="0"/>
        <w:bidi w:val="0"/>
        <w:adjustRightInd/>
        <w:snapToGrid/>
        <w:spacing w:before="0" w:beforeLines="0" w:after="0" w:afterLines="0" w:line="240" w:lineRule="auto"/>
        <w:ind w:firstLine="420" w:firstLineChars="200"/>
        <w:textAlignment w:val="auto"/>
        <w:outlineLvl w:val="9"/>
        <w:rPr>
          <w:rFonts w:ascii="Times New Roman" w:eastAsia="宋体"/>
        </w:rPr>
      </w:pPr>
      <w:r>
        <w:rPr>
          <w:rFonts w:ascii="Times New Roman" w:eastAsia="宋体"/>
        </w:rPr>
        <w:t>在产品系统内部获得的初级数据。</w:t>
      </w:r>
    </w:p>
    <w:p w14:paraId="6D09B052">
      <w:pPr>
        <w:pStyle w:val="47"/>
        <w:keepNext w:val="0"/>
        <w:keepLines w:val="0"/>
        <w:pageBreakBefore w:val="0"/>
        <w:widowControl/>
        <w:numPr>
          <w:ilvl w:val="1"/>
          <w:numId w:val="0"/>
        </w:numPr>
        <w:kinsoku/>
        <w:wordWrap/>
        <w:overflowPunct/>
        <w:topLinePunct w:val="0"/>
        <w:bidi w:val="0"/>
        <w:adjustRightInd/>
        <w:snapToGrid/>
        <w:spacing w:before="0" w:beforeLines="0" w:after="0" w:afterLines="0" w:line="240" w:lineRule="auto"/>
        <w:ind w:firstLine="420" w:firstLineChars="200"/>
        <w:textAlignment w:val="auto"/>
        <w:outlineLvl w:val="9"/>
        <w:rPr>
          <w:rFonts w:ascii="Times New Roman" w:eastAsia="宋体"/>
        </w:rPr>
      </w:pPr>
      <w:r>
        <w:rPr>
          <w:rFonts w:ascii="Times New Roman"/>
        </w:rPr>
        <w:t>注1：</w:t>
      </w:r>
      <w:r>
        <w:rPr>
          <w:rFonts w:ascii="Times New Roman" w:eastAsia="宋体"/>
        </w:rPr>
        <w:t>所有现场数据均为初级数据，但并不是所有初级数据都是现场数据，因为数据可能是从不同产品系统内部获得。</w:t>
      </w:r>
    </w:p>
    <w:p w14:paraId="1DD825D9">
      <w:pPr>
        <w:pStyle w:val="47"/>
        <w:keepNext w:val="0"/>
        <w:keepLines w:val="0"/>
        <w:pageBreakBefore w:val="0"/>
        <w:widowControl/>
        <w:numPr>
          <w:ilvl w:val="1"/>
          <w:numId w:val="0"/>
        </w:numPr>
        <w:kinsoku/>
        <w:wordWrap/>
        <w:overflowPunct/>
        <w:topLinePunct w:val="0"/>
        <w:bidi w:val="0"/>
        <w:adjustRightInd/>
        <w:snapToGrid/>
        <w:spacing w:before="0" w:beforeLines="0" w:after="0" w:afterLines="0" w:line="240" w:lineRule="auto"/>
        <w:ind w:firstLine="420" w:firstLineChars="200"/>
        <w:textAlignment w:val="auto"/>
        <w:outlineLvl w:val="9"/>
        <w:rPr>
          <w:rFonts w:ascii="Times New Roman" w:eastAsia="宋体"/>
        </w:rPr>
      </w:pPr>
      <w:r>
        <w:rPr>
          <w:rFonts w:ascii="Times New Roman"/>
        </w:rPr>
        <w:t>注2：</w:t>
      </w:r>
      <w:r>
        <w:rPr>
          <w:rFonts w:ascii="Times New Roman" w:eastAsia="宋体"/>
        </w:rPr>
        <w:t>现场数据包括场地内一个特定单元过程的温室气体排放量（3.1.2.5）和温室气体清除量。</w:t>
      </w:r>
    </w:p>
    <w:p w14:paraId="7BE61C6C">
      <w:pPr>
        <w:pStyle w:val="27"/>
        <w:keepNext w:val="0"/>
        <w:keepLines w:val="0"/>
        <w:pageBreakBefore w:val="0"/>
        <w:widowControl/>
        <w:kinsoku/>
        <w:wordWrap/>
        <w:overflowPunct/>
        <w:topLinePunct w:val="0"/>
        <w:bidi w:val="0"/>
        <w:adjustRightInd/>
        <w:snapToGrid/>
        <w:spacing w:line="240" w:lineRule="auto"/>
        <w:ind w:firstLineChars="0"/>
        <w:textAlignment w:val="auto"/>
        <w:rPr>
          <w:rFonts w:ascii="Times New Roman"/>
          <w:szCs w:val="21"/>
        </w:rPr>
      </w:pPr>
      <w:r>
        <w:rPr>
          <w:rFonts w:ascii="Times New Roman"/>
          <w:szCs w:val="21"/>
        </w:rPr>
        <w:t>[来源：</w:t>
      </w:r>
      <w:r>
        <w:rPr>
          <w:rFonts w:hint="eastAsia" w:ascii="Times New Roman"/>
          <w:szCs w:val="21"/>
        </w:rPr>
        <w:t>GB/T 24067</w:t>
      </w:r>
      <w:r>
        <w:rPr>
          <w:rFonts w:hint="eastAsia" w:ascii="Times New Roman"/>
          <w:szCs w:val="21"/>
          <w:lang w:val="en-US" w:eastAsia="zh-CN"/>
        </w:rPr>
        <w:t>-</w:t>
      </w:r>
      <w:r>
        <w:rPr>
          <w:rFonts w:hint="eastAsia" w:ascii="Times New Roman"/>
          <w:szCs w:val="21"/>
        </w:rPr>
        <w:t>2024</w:t>
      </w:r>
      <w:r>
        <w:rPr>
          <w:rFonts w:ascii="Times New Roman"/>
          <w:szCs w:val="21"/>
        </w:rPr>
        <w:t>，3.6.2]</w:t>
      </w:r>
    </w:p>
    <w:bookmarkEnd w:id="13"/>
    <w:bookmarkEnd w:id="14"/>
    <w:bookmarkEnd w:id="15"/>
    <w:p w14:paraId="01CC7503">
      <w:pPr>
        <w:pStyle w:val="47"/>
        <w:keepNext w:val="0"/>
        <w:keepLines w:val="0"/>
        <w:pageBreakBefore w:val="0"/>
        <w:widowControl/>
        <w:numPr>
          <w:ilvl w:val="0"/>
          <w:numId w:val="0"/>
        </w:numPr>
        <w:kinsoku/>
        <w:wordWrap/>
        <w:overflowPunct/>
        <w:topLinePunct w:val="0"/>
        <w:autoSpaceDE/>
        <w:autoSpaceDN/>
        <w:bidi w:val="0"/>
        <w:adjustRightInd/>
        <w:snapToGrid/>
        <w:spacing w:before="0" w:beforeLines="0" w:after="0" w:afterLines="0" w:line="240" w:lineRule="auto"/>
        <w:ind w:left="0" w:hanging="420" w:hangingChars="200"/>
        <w:textAlignment w:val="auto"/>
        <w:outlineLvl w:val="1"/>
        <w:rPr>
          <w:rFonts w:hint="eastAsia" w:ascii="黑体" w:hAnsi="黑体" w:eastAsia="黑体" w:cs="Times New Roman"/>
          <w:color w:val="000000"/>
          <w:kern w:val="0"/>
          <w:sz w:val="21"/>
          <w:szCs w:val="21"/>
          <w:lang w:val="en-US" w:eastAsia="zh-CN" w:bidi="ar-SA"/>
        </w:rPr>
      </w:pPr>
      <w:bookmarkStart w:id="16" w:name="_Toc20156"/>
      <w:bookmarkStart w:id="17" w:name="_Toc29279"/>
      <w:bookmarkStart w:id="18" w:name="_Toc31525"/>
      <w:r>
        <w:rPr>
          <w:rFonts w:hint="eastAsia" w:ascii="黑体" w:hAnsi="黑体" w:eastAsia="黑体" w:cs="Times New Roman"/>
          <w:color w:val="000000"/>
          <w:kern w:val="0"/>
          <w:sz w:val="21"/>
          <w:szCs w:val="21"/>
          <w:lang w:val="en-US" w:eastAsia="zh-CN" w:bidi="ar-SA"/>
        </w:rPr>
        <w:t>3.18</w:t>
      </w:r>
    </w:p>
    <w:p w14:paraId="0C51C215">
      <w:pPr>
        <w:pStyle w:val="47"/>
        <w:keepNext w:val="0"/>
        <w:keepLines w:val="0"/>
        <w:pageBreakBefore w:val="0"/>
        <w:widowControl/>
        <w:numPr>
          <w:ilvl w:val="0"/>
          <w:numId w:val="0"/>
        </w:numPr>
        <w:kinsoku/>
        <w:wordWrap/>
        <w:overflowPunct/>
        <w:topLinePunct w:val="0"/>
        <w:autoSpaceDE/>
        <w:autoSpaceDN/>
        <w:bidi w:val="0"/>
        <w:adjustRightInd/>
        <w:snapToGrid/>
        <w:spacing w:before="0" w:beforeLines="0" w:after="0" w:afterLines="0" w:line="240" w:lineRule="auto"/>
        <w:ind w:left="420" w:leftChars="200" w:firstLine="0" w:firstLineChars="0"/>
        <w:textAlignment w:val="auto"/>
        <w:outlineLvl w:val="1"/>
        <w:rPr>
          <w:rFonts w:ascii="Times New Roman" w:eastAsia="宋体"/>
          <w:b/>
          <w:bCs/>
        </w:rPr>
      </w:pPr>
      <w:r>
        <w:rPr>
          <w:rFonts w:ascii="Times New Roman" w:eastAsia="宋体"/>
          <w:b/>
          <w:bCs/>
        </w:rPr>
        <w:t>次级数据 secondary data</w:t>
      </w:r>
      <w:bookmarkEnd w:id="16"/>
      <w:bookmarkEnd w:id="17"/>
      <w:bookmarkEnd w:id="18"/>
    </w:p>
    <w:p w14:paraId="0F6BC69A">
      <w:pPr>
        <w:pStyle w:val="47"/>
        <w:keepNext w:val="0"/>
        <w:keepLines w:val="0"/>
        <w:pageBreakBefore w:val="0"/>
        <w:widowControl/>
        <w:numPr>
          <w:ilvl w:val="1"/>
          <w:numId w:val="0"/>
        </w:numPr>
        <w:kinsoku/>
        <w:wordWrap/>
        <w:overflowPunct/>
        <w:topLinePunct w:val="0"/>
        <w:autoSpaceDE/>
        <w:autoSpaceDN/>
        <w:bidi w:val="0"/>
        <w:adjustRightInd/>
        <w:snapToGrid/>
        <w:spacing w:before="0" w:beforeLines="0" w:after="0" w:afterLines="0" w:line="240" w:lineRule="auto"/>
        <w:ind w:firstLine="420" w:firstLineChars="200"/>
        <w:textAlignment w:val="auto"/>
        <w:outlineLvl w:val="9"/>
        <w:rPr>
          <w:rFonts w:ascii="Times New Roman" w:eastAsia="宋体"/>
        </w:rPr>
      </w:pPr>
      <w:r>
        <w:rPr>
          <w:rFonts w:ascii="Times New Roman" w:eastAsia="宋体"/>
        </w:rPr>
        <w:t>不符合初级数据要求的数据。</w:t>
      </w:r>
    </w:p>
    <w:p w14:paraId="183002BD">
      <w:pPr>
        <w:pStyle w:val="47"/>
        <w:keepNext w:val="0"/>
        <w:keepLines w:val="0"/>
        <w:pageBreakBefore w:val="0"/>
        <w:widowControl/>
        <w:numPr>
          <w:ilvl w:val="1"/>
          <w:numId w:val="0"/>
        </w:numPr>
        <w:kinsoku/>
        <w:wordWrap/>
        <w:overflowPunct/>
        <w:topLinePunct w:val="0"/>
        <w:autoSpaceDE/>
        <w:autoSpaceDN/>
        <w:bidi w:val="0"/>
        <w:adjustRightInd/>
        <w:snapToGrid/>
        <w:spacing w:before="0" w:beforeLines="0" w:after="0" w:afterLines="0" w:line="240" w:lineRule="auto"/>
        <w:ind w:firstLine="420" w:firstLineChars="200"/>
        <w:textAlignment w:val="auto"/>
        <w:outlineLvl w:val="9"/>
        <w:rPr>
          <w:rFonts w:ascii="Times New Roman" w:eastAsia="宋体"/>
        </w:rPr>
      </w:pPr>
      <w:r>
        <w:rPr>
          <w:rFonts w:ascii="Times New Roman"/>
        </w:rPr>
        <w:t>注1：</w:t>
      </w:r>
      <w:r>
        <w:rPr>
          <w:rFonts w:ascii="Times New Roman" w:eastAsia="宋体"/>
        </w:rPr>
        <w:t>次级数据是经权威机构验证且具有可信度的数据，可来源于数据库、公开文献、国家排放因子、计算估算数据或其他具有代表性的数据，推荐使用本土化数据库。</w:t>
      </w:r>
    </w:p>
    <w:p w14:paraId="2C83098C">
      <w:pPr>
        <w:pStyle w:val="47"/>
        <w:keepNext w:val="0"/>
        <w:keepLines w:val="0"/>
        <w:pageBreakBefore w:val="0"/>
        <w:widowControl/>
        <w:numPr>
          <w:ilvl w:val="1"/>
          <w:numId w:val="0"/>
        </w:numPr>
        <w:kinsoku/>
        <w:wordWrap/>
        <w:overflowPunct/>
        <w:topLinePunct w:val="0"/>
        <w:autoSpaceDE/>
        <w:autoSpaceDN/>
        <w:bidi w:val="0"/>
        <w:adjustRightInd/>
        <w:snapToGrid/>
        <w:spacing w:before="0" w:beforeLines="0" w:after="0" w:afterLines="0" w:line="240" w:lineRule="auto"/>
        <w:ind w:firstLine="420" w:firstLineChars="200"/>
        <w:textAlignment w:val="auto"/>
        <w:outlineLvl w:val="9"/>
        <w:rPr>
          <w:rFonts w:ascii="Times New Roman" w:eastAsia="宋体"/>
        </w:rPr>
      </w:pPr>
      <w:r>
        <w:rPr>
          <w:rFonts w:ascii="Times New Roman"/>
        </w:rPr>
        <w:t>注2：</w:t>
      </w:r>
      <w:r>
        <w:rPr>
          <w:rFonts w:ascii="Times New Roman" w:eastAsia="宋体"/>
        </w:rPr>
        <w:t>次级数据可包括从代替过程或估计获得的数据。</w:t>
      </w:r>
    </w:p>
    <w:p w14:paraId="2749E87E">
      <w:pPr>
        <w:keepNext w:val="0"/>
        <w:keepLines w:val="0"/>
        <w:pageBreakBefore w:val="0"/>
        <w:widowControl/>
        <w:suppressLineNumbers w:val="0"/>
        <w:kinsoku/>
        <w:wordWrap/>
        <w:overflowPunct/>
        <w:topLinePunct w:val="0"/>
        <w:autoSpaceDE/>
        <w:autoSpaceDN/>
        <w:bidi w:val="0"/>
        <w:adjustRightInd/>
        <w:snapToGrid/>
        <w:spacing w:line="240" w:lineRule="auto"/>
        <w:ind w:firstLine="420" w:firstLineChars="200"/>
        <w:jc w:val="left"/>
        <w:textAlignment w:val="auto"/>
        <w:rPr>
          <w:rFonts w:ascii="Times New Roman"/>
          <w:szCs w:val="21"/>
        </w:rPr>
      </w:pPr>
      <w:r>
        <w:rPr>
          <w:rFonts w:ascii="Times New Roman" w:eastAsia="宋体"/>
        </w:rPr>
        <w:t>[来源：</w:t>
      </w:r>
      <w:r>
        <w:rPr>
          <w:rFonts w:hint="eastAsia" w:ascii="Times New Roman"/>
          <w:szCs w:val="21"/>
        </w:rPr>
        <w:t>GB/T 24067</w:t>
      </w:r>
      <w:r>
        <w:rPr>
          <w:rFonts w:hint="eastAsia" w:ascii="Times New Roman"/>
          <w:szCs w:val="21"/>
          <w:lang w:val="en-US" w:eastAsia="zh-CN"/>
        </w:rPr>
        <w:t>-</w:t>
      </w:r>
      <w:r>
        <w:rPr>
          <w:rFonts w:hint="eastAsia" w:ascii="Times New Roman"/>
          <w:szCs w:val="21"/>
        </w:rPr>
        <w:t>2024</w:t>
      </w:r>
      <w:r>
        <w:rPr>
          <w:rFonts w:ascii="Times New Roman" w:eastAsia="宋体"/>
        </w:rPr>
        <w:t>，3.6.3]</w:t>
      </w:r>
    </w:p>
    <w:p w14:paraId="662B0BE2">
      <w:pPr>
        <w:pStyle w:val="50"/>
        <w:numPr>
          <w:ilvl w:val="0"/>
          <w:numId w:val="11"/>
        </w:numPr>
        <w:adjustRightInd w:val="0"/>
        <w:snapToGrid w:val="0"/>
        <w:spacing w:before="120" w:beforeLines="50" w:after="120" w:afterLines="50" w:line="360" w:lineRule="exact"/>
        <w:ind w:left="284" w:hanging="284"/>
        <w:outlineLvl w:val="0"/>
        <w:rPr>
          <w:rFonts w:ascii="黑体" w:hAnsi="黑体" w:eastAsia="黑体"/>
          <w:b w:val="0"/>
          <w:bCs w:val="0"/>
          <w:szCs w:val="21"/>
          <w:highlight w:val="none"/>
        </w:rPr>
      </w:pPr>
      <w:bookmarkStart w:id="19" w:name="_Toc515069358"/>
      <w:bookmarkEnd w:id="19"/>
      <w:bookmarkStart w:id="20" w:name="_Toc17834"/>
      <w:bookmarkStart w:id="21" w:name="_Toc31009"/>
      <w:bookmarkStart w:id="22" w:name="_Toc14359"/>
      <w:r>
        <w:rPr>
          <w:rFonts w:ascii="黑体" w:hAnsi="黑体" w:eastAsia="黑体"/>
          <w:b w:val="0"/>
          <w:bCs w:val="0"/>
          <w:szCs w:val="21"/>
          <w:highlight w:val="none"/>
        </w:rPr>
        <w:t>量化目的</w:t>
      </w:r>
      <w:bookmarkEnd w:id="20"/>
      <w:bookmarkEnd w:id="21"/>
      <w:bookmarkEnd w:id="22"/>
    </w:p>
    <w:p w14:paraId="023F177A">
      <w:pPr>
        <w:spacing w:line="276" w:lineRule="auto"/>
        <w:ind w:firstLine="420" w:firstLineChars="200"/>
      </w:pPr>
      <w:r>
        <w:t>本文件通过量化</w:t>
      </w:r>
      <w:r>
        <w:rPr>
          <w:rFonts w:hint="eastAsia" w:hAnsi="Times New Roman" w:eastAsia="宋体" w:cs="Times New Roman"/>
          <w:lang w:val="en-US" w:eastAsia="zh-CN"/>
        </w:rPr>
        <w:t>建筑用墙面涂料</w:t>
      </w:r>
      <w:r>
        <w:t>产品生命周期或选定</w:t>
      </w:r>
      <w:r>
        <w:rPr>
          <w:rFonts w:hint="eastAsia"/>
        </w:rPr>
        <w:t>阶段</w:t>
      </w:r>
      <w:r>
        <w:t>的温室气体排放量和清除量（以二氧化碳当量表示），基于本文件开展碳足迹量化的目的包括但不限于以下方面：</w:t>
      </w:r>
    </w:p>
    <w:p w14:paraId="1CFCABA1">
      <w:pPr>
        <w:numPr>
          <w:ilvl w:val="6"/>
          <w:numId w:val="12"/>
        </w:numPr>
        <w:tabs>
          <w:tab w:val="left" w:pos="840"/>
          <w:tab w:val="clear" w:pos="2940"/>
        </w:tabs>
        <w:spacing w:line="276" w:lineRule="auto"/>
        <w:ind w:hanging="2520"/>
        <w:jc w:val="both"/>
      </w:pPr>
      <w:r>
        <w:t>评价产品对气候变化的潜在影响</w:t>
      </w:r>
      <w:r>
        <w:rPr>
          <w:rFonts w:hint="eastAsia"/>
        </w:rPr>
        <w:t>；</w:t>
      </w:r>
    </w:p>
    <w:p w14:paraId="11BCBF34">
      <w:pPr>
        <w:numPr>
          <w:ilvl w:val="6"/>
          <w:numId w:val="12"/>
        </w:numPr>
        <w:tabs>
          <w:tab w:val="left" w:pos="840"/>
          <w:tab w:val="clear" w:pos="2940"/>
        </w:tabs>
        <w:spacing w:line="276" w:lineRule="auto"/>
        <w:ind w:hanging="2520"/>
        <w:jc w:val="both"/>
      </w:pPr>
      <w:r>
        <w:t>用于生产者与上下游供应链或消费者之间的温室气体排放信息沟通；</w:t>
      </w:r>
    </w:p>
    <w:p w14:paraId="62999DDE">
      <w:pPr>
        <w:keepNext w:val="0"/>
        <w:keepLines w:val="0"/>
        <w:pageBreakBefore w:val="0"/>
        <w:widowControl w:val="0"/>
        <w:numPr>
          <w:ilvl w:val="6"/>
          <w:numId w:val="12"/>
        </w:numPr>
        <w:tabs>
          <w:tab w:val="left" w:pos="840"/>
          <w:tab w:val="clear" w:pos="2940"/>
        </w:tabs>
        <w:kinsoku/>
        <w:wordWrap/>
        <w:overflowPunct/>
        <w:topLinePunct w:val="0"/>
        <w:autoSpaceDE/>
        <w:autoSpaceDN/>
        <w:bidi w:val="0"/>
        <w:adjustRightInd/>
        <w:snapToGrid/>
        <w:spacing w:line="276" w:lineRule="auto"/>
        <w:ind w:left="420" w:firstLine="0"/>
        <w:jc w:val="both"/>
        <w:textAlignment w:val="auto"/>
        <w:rPr>
          <w:highlight w:val="none"/>
        </w:rPr>
      </w:pPr>
      <w:r>
        <w:t>用于生产者降低产品碳足迹的设计与改进</w:t>
      </w:r>
      <w:r>
        <w:rPr>
          <w:rFonts w:hint="eastAsia"/>
          <w:highlight w:val="none"/>
          <w:lang w:val="en-US" w:eastAsia="zh-CN"/>
        </w:rPr>
        <w:t>以及同类产品间的对比，其中对比应满足可比性（第10章）的要求</w:t>
      </w:r>
      <w:r>
        <w:rPr>
          <w:highlight w:val="none"/>
        </w:rPr>
        <w:t>。</w:t>
      </w:r>
    </w:p>
    <w:p w14:paraId="35733C3F">
      <w:pPr>
        <w:pStyle w:val="50"/>
        <w:numPr>
          <w:ilvl w:val="0"/>
          <w:numId w:val="11"/>
        </w:numPr>
        <w:adjustRightInd w:val="0"/>
        <w:snapToGrid w:val="0"/>
        <w:spacing w:before="120" w:beforeLines="50" w:after="120" w:afterLines="50" w:line="360" w:lineRule="exact"/>
        <w:ind w:left="284" w:hanging="284"/>
        <w:outlineLvl w:val="0"/>
        <w:rPr>
          <w:rFonts w:ascii="黑体" w:hAnsi="黑体" w:eastAsia="黑体"/>
          <w:b w:val="0"/>
          <w:bCs w:val="0"/>
          <w:szCs w:val="21"/>
          <w:highlight w:val="none"/>
        </w:rPr>
      </w:pPr>
      <w:bookmarkStart w:id="23" w:name="_Toc955"/>
      <w:bookmarkStart w:id="24" w:name="_Toc8774"/>
      <w:bookmarkStart w:id="25" w:name="_Toc1895"/>
      <w:r>
        <w:rPr>
          <w:rFonts w:ascii="黑体" w:hAnsi="黑体" w:eastAsia="黑体"/>
          <w:b w:val="0"/>
          <w:bCs w:val="0"/>
          <w:szCs w:val="21"/>
          <w:highlight w:val="none"/>
        </w:rPr>
        <w:t>量化范围</w:t>
      </w:r>
      <w:bookmarkEnd w:id="23"/>
      <w:bookmarkEnd w:id="24"/>
      <w:bookmarkEnd w:id="25"/>
    </w:p>
    <w:p w14:paraId="30318747">
      <w:pPr>
        <w:pStyle w:val="47"/>
        <w:numPr>
          <w:ilvl w:val="1"/>
          <w:numId w:val="11"/>
        </w:numPr>
        <w:adjustRightInd w:val="0"/>
        <w:snapToGrid w:val="0"/>
        <w:spacing w:before="120" w:beforeLines="-2147483648" w:after="120" w:afterLines="-2147483648" w:line="360" w:lineRule="exact"/>
        <w:ind w:left="420" w:hanging="420" w:hangingChars="200"/>
        <w:jc w:val="both"/>
        <w:outlineLvl w:val="1"/>
        <w:rPr>
          <w:rFonts w:ascii="Times New Roman"/>
          <w:color w:val="000000"/>
        </w:rPr>
      </w:pPr>
      <w:r>
        <w:rPr>
          <w:rFonts w:ascii="Times New Roman"/>
          <w:color w:val="000000"/>
        </w:rPr>
        <w:t>产品描述</w:t>
      </w:r>
    </w:p>
    <w:p w14:paraId="02ACEADC">
      <w:pPr>
        <w:pStyle w:val="27"/>
        <w:spacing w:line="276" w:lineRule="auto"/>
        <w:rPr>
          <w:rFonts w:hint="default" w:ascii="Times New Roman" w:eastAsia="宋体"/>
          <w:highlight w:val="none"/>
          <w:lang w:val="en-US" w:eastAsia="zh-CN"/>
        </w:rPr>
      </w:pPr>
      <w:r>
        <w:rPr>
          <w:rFonts w:hint="eastAsia" w:ascii="宋体" w:hAnsi="宋体" w:eastAsia="宋体" w:cs="宋体"/>
          <w:color w:val="000000"/>
          <w:kern w:val="0"/>
          <w:sz w:val="21"/>
          <w:szCs w:val="21"/>
          <w:lang w:val="en-US" w:eastAsia="zh-CN" w:bidi="ar"/>
        </w:rPr>
        <w:t>依据建筑用墙面涂料对应的产品标准中产品标记进行描述，包括但不限于产品名称、规格型号、产品等级、主要技术参数、生产工艺流程图、用途等信息，</w:t>
      </w:r>
      <w:r>
        <w:rPr>
          <w:rFonts w:hint="eastAsia" w:ascii="宋体" w:hAnsi="宋体" w:eastAsia="宋体" w:cs="宋体"/>
          <w:color w:val="000000"/>
          <w:kern w:val="0"/>
          <w:sz w:val="21"/>
          <w:szCs w:val="21"/>
          <w:highlight w:val="none"/>
          <w:lang w:val="en-US" w:eastAsia="zh-CN" w:bidi="ar"/>
        </w:rPr>
        <w:t>建筑用墙面涂料</w:t>
      </w:r>
      <w:r>
        <w:rPr>
          <w:rFonts w:ascii="Times New Roman"/>
          <w:highlight w:val="none"/>
        </w:rPr>
        <w:t>对应的产品标准见</w:t>
      </w:r>
      <w:r>
        <w:rPr>
          <w:rFonts w:hint="eastAsia" w:ascii="Times New Roman"/>
          <w:highlight w:val="none"/>
        </w:rPr>
        <w:t>附录</w:t>
      </w:r>
      <w:r>
        <w:rPr>
          <w:rFonts w:ascii="Times New Roman"/>
          <w:highlight w:val="none"/>
        </w:rPr>
        <w:t>A。</w:t>
      </w:r>
    </w:p>
    <w:p w14:paraId="4A775026">
      <w:pPr>
        <w:pStyle w:val="47"/>
        <w:numPr>
          <w:ilvl w:val="1"/>
          <w:numId w:val="11"/>
        </w:numPr>
        <w:adjustRightInd w:val="0"/>
        <w:snapToGrid w:val="0"/>
        <w:spacing w:before="120" w:beforeLines="-2147483648" w:after="120" w:afterLines="-2147483648" w:line="360" w:lineRule="exact"/>
        <w:ind w:left="420" w:hanging="420" w:hangingChars="200"/>
        <w:jc w:val="both"/>
        <w:outlineLvl w:val="1"/>
        <w:rPr>
          <w:rFonts w:ascii="Times New Roman"/>
          <w:color w:val="000000"/>
        </w:rPr>
      </w:pPr>
      <w:r>
        <w:rPr>
          <w:rFonts w:ascii="Times New Roman"/>
          <w:color w:val="000000"/>
        </w:rPr>
        <w:t>系统边界</w:t>
      </w:r>
    </w:p>
    <w:p w14:paraId="1F0ADCD2">
      <w:pPr>
        <w:pStyle w:val="47"/>
        <w:numPr>
          <w:ilvl w:val="2"/>
          <w:numId w:val="11"/>
        </w:numPr>
        <w:adjustRightInd w:val="0"/>
        <w:snapToGrid w:val="0"/>
        <w:spacing w:beforeLines="0" w:afterLines="0" w:line="360" w:lineRule="exact"/>
        <w:ind w:left="0" w:firstLine="0"/>
        <w:jc w:val="both"/>
        <w:outlineLvl w:val="9"/>
        <w:rPr>
          <w:rFonts w:ascii="Times New Roman" w:eastAsia="宋体"/>
        </w:rPr>
      </w:pPr>
      <w:r>
        <w:rPr>
          <w:rFonts w:hint="eastAsia" w:ascii="宋体" w:hAnsi="宋体" w:eastAsia="宋体" w:cs="宋体"/>
          <w:color w:val="000000"/>
          <w:kern w:val="0"/>
          <w:sz w:val="21"/>
          <w:szCs w:val="21"/>
          <w:lang w:val="en-US" w:eastAsia="zh-CN" w:bidi="ar"/>
        </w:rPr>
        <w:t>建筑用墙面涂料产品碳足迹量化的系统边界如图1所示，产品部分碳足迹至少应涵盖原料获取阶段（A）与产品生产阶段（B）；产品分销阶段（C）、施工使用阶段（D）和生命末期阶段（D）为可选阶段。</w:t>
      </w:r>
    </w:p>
    <w:p w14:paraId="78E69FA8">
      <w:pPr>
        <w:pStyle w:val="27"/>
        <w:spacing w:after="156" w:afterLines="50" w:line="276" w:lineRule="auto"/>
        <w:ind w:firstLine="0" w:firstLineChars="0"/>
        <w:jc w:val="center"/>
        <w:rPr>
          <w:rFonts w:ascii="Times New Roman"/>
          <w:highlight w:val="none"/>
        </w:rPr>
      </w:pPr>
      <w:r>
        <w:drawing>
          <wp:inline distT="0" distB="0" distL="114300" distR="114300">
            <wp:extent cx="6185535" cy="3158490"/>
            <wp:effectExtent l="0" t="0" r="5715" b="381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9"/>
                    <a:stretch>
                      <a:fillRect/>
                    </a:stretch>
                  </pic:blipFill>
                  <pic:spPr>
                    <a:xfrm>
                      <a:off x="0" y="0"/>
                      <a:ext cx="6185535" cy="3158490"/>
                    </a:xfrm>
                    <a:prstGeom prst="rect">
                      <a:avLst/>
                    </a:prstGeom>
                    <a:noFill/>
                    <a:ln>
                      <a:noFill/>
                    </a:ln>
                  </pic:spPr>
                </pic:pic>
              </a:graphicData>
            </a:graphic>
          </wp:inline>
        </w:drawing>
      </w:r>
    </w:p>
    <w:p w14:paraId="3C22E5D8">
      <w:pPr>
        <w:pStyle w:val="27"/>
        <w:spacing w:after="156" w:afterLines="50" w:line="276" w:lineRule="auto"/>
        <w:ind w:firstLine="0" w:firstLineChars="0"/>
        <w:jc w:val="center"/>
        <w:rPr>
          <w:rFonts w:hint="eastAsia" w:ascii="黑体" w:hAnsi="黑体" w:eastAsia="黑体" w:cs="黑体"/>
          <w:highlight w:val="none"/>
        </w:rPr>
      </w:pPr>
      <w:r>
        <w:rPr>
          <w:rFonts w:ascii="Times New Roman"/>
          <w:b/>
          <w:bCs/>
        </w:rPr>
        <w:t xml:space="preserve">图1 </w:t>
      </w:r>
      <w:r>
        <w:rPr>
          <w:rFonts w:hint="eastAsia" w:ascii="Times New Roman"/>
          <w:b/>
          <w:bCs/>
          <w:lang w:val="en-US" w:eastAsia="zh-CN"/>
        </w:rPr>
        <w:t>建筑用墙面涂料</w:t>
      </w:r>
      <w:r>
        <w:rPr>
          <w:rFonts w:ascii="Times New Roman"/>
          <w:b/>
          <w:bCs/>
        </w:rPr>
        <w:t>碳足迹评价的系统边界图</w:t>
      </w:r>
    </w:p>
    <w:p w14:paraId="0C0B3BA8">
      <w:pPr>
        <w:pStyle w:val="47"/>
        <w:numPr>
          <w:ilvl w:val="2"/>
          <w:numId w:val="11"/>
        </w:numPr>
        <w:adjustRightInd w:val="0"/>
        <w:snapToGrid w:val="0"/>
        <w:spacing w:beforeLines="0" w:afterLines="0" w:line="360" w:lineRule="exact"/>
        <w:ind w:left="0" w:firstLine="0"/>
        <w:jc w:val="both"/>
        <w:outlineLvl w:val="9"/>
        <w:rPr>
          <w:rFonts w:ascii="Times New Roman" w:eastAsia="宋体"/>
        </w:rPr>
      </w:pPr>
      <w:r>
        <w:rPr>
          <w:rFonts w:ascii="Times New Roman" w:eastAsia="宋体"/>
        </w:rPr>
        <w:t>原料获取阶段（A），从自然界初级资源提取开始，在原料到达</w:t>
      </w:r>
      <w:r>
        <w:rPr>
          <w:rFonts w:hint="eastAsia" w:ascii="Times New Roman" w:eastAsia="宋体"/>
          <w:lang w:val="en-US" w:eastAsia="zh-CN"/>
        </w:rPr>
        <w:t>墙面涂料</w:t>
      </w:r>
      <w:r>
        <w:rPr>
          <w:rFonts w:ascii="Times New Roman" w:eastAsia="宋体"/>
        </w:rPr>
        <w:t>制造工厂时终止，包括：</w:t>
      </w:r>
    </w:p>
    <w:p w14:paraId="2EA9BA85">
      <w:pPr>
        <w:pStyle w:val="152"/>
        <w:numPr>
          <w:ilvl w:val="0"/>
          <w:numId w:val="13"/>
        </w:numPr>
        <w:spacing w:line="276" w:lineRule="auto"/>
        <w:ind w:left="0" w:firstLine="420"/>
        <w:rPr>
          <w:rFonts w:ascii="Times New Roman" w:hAnsi="Times New Roman" w:eastAsia="宋体" w:cs="Times New Roman"/>
          <w:szCs w:val="21"/>
          <w:highlight w:val="none"/>
        </w:rPr>
      </w:pPr>
      <w:r>
        <w:rPr>
          <w:rFonts w:ascii="Times New Roman" w:hAnsi="Times New Roman" w:eastAsia="宋体" w:cs="Times New Roman"/>
          <w:szCs w:val="21"/>
          <w:highlight w:val="none"/>
        </w:rPr>
        <w:t>原料获取</w:t>
      </w:r>
      <w:r>
        <w:rPr>
          <w:rFonts w:hint="eastAsia" w:ascii="Times New Roman" w:hAnsi="Times New Roman" w:eastAsia="宋体" w:cs="Times New Roman"/>
          <w:szCs w:val="21"/>
          <w:highlight w:val="none"/>
          <w:lang w:eastAsia="zh-CN"/>
        </w:rPr>
        <w:t>（</w:t>
      </w:r>
      <w:r>
        <w:rPr>
          <w:rFonts w:hint="eastAsia" w:ascii="Times New Roman" w:hAnsi="Times New Roman" w:eastAsia="宋体" w:cs="Times New Roman"/>
          <w:szCs w:val="21"/>
          <w:highlight w:val="none"/>
          <w:lang w:val="en-US" w:eastAsia="zh-CN"/>
        </w:rPr>
        <w:t>A1</w:t>
      </w:r>
      <w:r>
        <w:rPr>
          <w:rFonts w:hint="eastAsia" w:ascii="Times New Roman" w:hAnsi="Times New Roman" w:eastAsia="宋体" w:cs="Times New Roman"/>
          <w:szCs w:val="21"/>
          <w:highlight w:val="none"/>
          <w:lang w:eastAsia="zh-CN"/>
        </w:rPr>
        <w:t>）</w:t>
      </w:r>
      <w:r>
        <w:rPr>
          <w:rFonts w:ascii="Times New Roman" w:hAnsi="Times New Roman" w:eastAsia="宋体" w:cs="Times New Roman"/>
          <w:szCs w:val="21"/>
          <w:highlight w:val="none"/>
        </w:rPr>
        <w:t>：</w:t>
      </w:r>
      <w:r>
        <w:rPr>
          <w:rFonts w:hint="eastAsia" w:ascii="Times New Roman" w:hAnsi="Times New Roman" w:eastAsia="宋体" w:cs="Times New Roman"/>
          <w:szCs w:val="21"/>
          <w:lang w:val="en-US" w:eastAsia="zh-CN"/>
        </w:rPr>
        <w:t>乳液、助剂、颜填料</w:t>
      </w:r>
      <w:r>
        <w:rPr>
          <w:rFonts w:ascii="Times New Roman" w:hAnsi="Times New Roman" w:eastAsia="宋体" w:cs="Times New Roman"/>
          <w:szCs w:val="21"/>
        </w:rPr>
        <w:t>等原料的开采、加工或生产过程</w:t>
      </w:r>
      <w:r>
        <w:rPr>
          <w:rFonts w:ascii="Times New Roman" w:hAnsi="Times New Roman" w:eastAsia="宋体" w:cs="Times New Roman"/>
          <w:szCs w:val="21"/>
          <w:highlight w:val="none"/>
        </w:rPr>
        <w:t>；</w:t>
      </w:r>
    </w:p>
    <w:p w14:paraId="7EFEC8B5">
      <w:pPr>
        <w:pStyle w:val="152"/>
        <w:numPr>
          <w:ilvl w:val="0"/>
          <w:numId w:val="13"/>
        </w:numPr>
        <w:spacing w:line="276" w:lineRule="auto"/>
        <w:ind w:left="0" w:firstLine="420"/>
        <w:rPr>
          <w:rFonts w:ascii="Times New Roman" w:hAnsi="Times New Roman" w:eastAsia="宋体" w:cs="Times New Roman"/>
          <w:szCs w:val="21"/>
          <w:highlight w:val="none"/>
        </w:rPr>
      </w:pPr>
      <w:r>
        <w:rPr>
          <w:rFonts w:ascii="Times New Roman" w:hAnsi="Times New Roman" w:eastAsia="宋体" w:cs="Times New Roman"/>
          <w:szCs w:val="21"/>
          <w:highlight w:val="none"/>
        </w:rPr>
        <w:t>原</w:t>
      </w:r>
      <w:r>
        <w:rPr>
          <w:rFonts w:hint="eastAsia" w:ascii="Times New Roman" w:hAnsi="Times New Roman" w:eastAsia="宋体" w:cs="Times New Roman"/>
          <w:szCs w:val="21"/>
          <w:highlight w:val="none"/>
        </w:rPr>
        <w:t>料</w:t>
      </w:r>
      <w:r>
        <w:rPr>
          <w:rFonts w:ascii="Times New Roman" w:hAnsi="Times New Roman" w:eastAsia="宋体" w:cs="Times New Roman"/>
          <w:szCs w:val="21"/>
          <w:highlight w:val="none"/>
        </w:rPr>
        <w:t>运输</w:t>
      </w:r>
      <w:r>
        <w:rPr>
          <w:rFonts w:hint="eastAsia" w:ascii="Times New Roman" w:hAnsi="Times New Roman" w:eastAsia="宋体" w:cs="Times New Roman"/>
          <w:szCs w:val="21"/>
          <w:highlight w:val="none"/>
          <w:lang w:eastAsia="zh-CN"/>
        </w:rPr>
        <w:t>（</w:t>
      </w:r>
      <w:r>
        <w:rPr>
          <w:rFonts w:hint="eastAsia" w:ascii="Times New Roman" w:hAnsi="Times New Roman" w:eastAsia="宋体" w:cs="Times New Roman"/>
          <w:szCs w:val="21"/>
          <w:highlight w:val="none"/>
          <w:lang w:val="en-US" w:eastAsia="zh-CN"/>
        </w:rPr>
        <w:t>A2</w:t>
      </w:r>
      <w:r>
        <w:rPr>
          <w:rFonts w:hint="eastAsia" w:ascii="Times New Roman" w:hAnsi="Times New Roman" w:eastAsia="宋体" w:cs="Times New Roman"/>
          <w:szCs w:val="21"/>
          <w:highlight w:val="none"/>
          <w:lang w:eastAsia="zh-CN"/>
        </w:rPr>
        <w:t>）</w:t>
      </w:r>
      <w:r>
        <w:rPr>
          <w:rFonts w:ascii="Times New Roman" w:hAnsi="Times New Roman" w:eastAsia="宋体" w:cs="Times New Roman"/>
          <w:szCs w:val="21"/>
          <w:highlight w:val="none"/>
        </w:rPr>
        <w:t>：</w:t>
      </w:r>
      <w:r>
        <w:rPr>
          <w:rFonts w:ascii="Times New Roman" w:hAnsi="Times New Roman" w:eastAsia="宋体" w:cs="Times New Roman"/>
          <w:szCs w:val="21"/>
        </w:rPr>
        <w:t>将原料从产地运输到</w:t>
      </w:r>
      <w:r>
        <w:rPr>
          <w:rFonts w:hint="eastAsia" w:ascii="Times New Roman" w:hAnsi="Times New Roman" w:eastAsia="宋体" w:cs="Times New Roman"/>
          <w:lang w:val="en-US" w:eastAsia="zh-CN"/>
        </w:rPr>
        <w:t>墙面涂料</w:t>
      </w:r>
      <w:r>
        <w:rPr>
          <w:rFonts w:ascii="Times New Roman" w:hAnsi="Times New Roman" w:eastAsia="宋体" w:cs="Times New Roman"/>
        </w:rPr>
        <w:t>制造</w:t>
      </w:r>
      <w:r>
        <w:rPr>
          <w:rFonts w:ascii="Times New Roman" w:hAnsi="Times New Roman" w:eastAsia="宋体" w:cs="Times New Roman"/>
          <w:szCs w:val="21"/>
        </w:rPr>
        <w:t>工厂的过程</w:t>
      </w:r>
      <w:r>
        <w:rPr>
          <w:rFonts w:ascii="Times New Roman" w:hAnsi="Times New Roman" w:eastAsia="宋体" w:cs="Times New Roman"/>
          <w:szCs w:val="21"/>
          <w:highlight w:val="none"/>
        </w:rPr>
        <w:t>。</w:t>
      </w:r>
    </w:p>
    <w:p w14:paraId="0F45FFD7">
      <w:pPr>
        <w:pStyle w:val="47"/>
        <w:numPr>
          <w:ilvl w:val="2"/>
          <w:numId w:val="11"/>
        </w:numPr>
        <w:adjustRightInd w:val="0"/>
        <w:snapToGrid w:val="0"/>
        <w:spacing w:beforeLines="0" w:afterLines="0" w:line="360" w:lineRule="exact"/>
        <w:ind w:left="0" w:firstLine="0"/>
        <w:jc w:val="both"/>
        <w:outlineLvl w:val="9"/>
        <w:rPr>
          <w:rFonts w:ascii="Times New Roman" w:eastAsia="宋体"/>
        </w:rPr>
      </w:pPr>
      <w:r>
        <w:rPr>
          <w:rFonts w:ascii="Times New Roman" w:eastAsia="宋体"/>
        </w:rPr>
        <w:t>产品生产阶段（B），从原料运输至</w:t>
      </w:r>
      <w:r>
        <w:rPr>
          <w:rFonts w:hint="eastAsia" w:ascii="Times New Roman" w:eastAsia="宋体"/>
          <w:lang w:val="en-US" w:eastAsia="zh-CN"/>
        </w:rPr>
        <w:t>墙面涂料</w:t>
      </w:r>
      <w:r>
        <w:rPr>
          <w:rFonts w:ascii="Times New Roman" w:eastAsia="宋体"/>
        </w:rPr>
        <w:t>制造工厂，在产品生产完成时终止，包括：</w:t>
      </w:r>
    </w:p>
    <w:p w14:paraId="0295687C">
      <w:pPr>
        <w:pStyle w:val="152"/>
        <w:numPr>
          <w:ilvl w:val="0"/>
          <w:numId w:val="14"/>
        </w:numPr>
        <w:spacing w:line="276" w:lineRule="auto"/>
        <w:ind w:left="0" w:firstLine="420"/>
        <w:rPr>
          <w:rFonts w:ascii="Times New Roman" w:hAnsi="Times New Roman" w:eastAsia="宋体" w:cs="Times New Roman"/>
          <w:szCs w:val="21"/>
          <w:highlight w:val="none"/>
        </w:rPr>
      </w:pPr>
      <w:r>
        <w:rPr>
          <w:rFonts w:ascii="Times New Roman" w:hAnsi="Times New Roman" w:eastAsia="宋体" w:cs="Times New Roman"/>
          <w:szCs w:val="21"/>
          <w:highlight w:val="none"/>
        </w:rPr>
        <w:t>产品制造</w:t>
      </w:r>
      <w:r>
        <w:rPr>
          <w:rFonts w:hint="eastAsia" w:ascii="Times New Roman" w:hAnsi="Times New Roman" w:eastAsia="宋体" w:cs="Times New Roman"/>
          <w:szCs w:val="21"/>
          <w:highlight w:val="none"/>
          <w:lang w:eastAsia="zh-CN"/>
        </w:rPr>
        <w:t>（</w:t>
      </w:r>
      <w:r>
        <w:rPr>
          <w:rFonts w:hint="eastAsia" w:ascii="Times New Roman" w:hAnsi="Times New Roman" w:eastAsia="宋体" w:cs="Times New Roman"/>
          <w:szCs w:val="21"/>
          <w:highlight w:val="none"/>
          <w:lang w:val="en-US" w:eastAsia="zh-CN"/>
        </w:rPr>
        <w:t>B1</w:t>
      </w:r>
      <w:r>
        <w:rPr>
          <w:rFonts w:hint="eastAsia" w:ascii="Times New Roman" w:hAnsi="Times New Roman" w:eastAsia="宋体" w:cs="Times New Roman"/>
          <w:szCs w:val="21"/>
          <w:highlight w:val="none"/>
          <w:lang w:eastAsia="zh-CN"/>
        </w:rPr>
        <w:t>）</w:t>
      </w:r>
      <w:r>
        <w:rPr>
          <w:rFonts w:ascii="Times New Roman" w:hAnsi="Times New Roman" w:eastAsia="宋体" w:cs="Times New Roman"/>
          <w:szCs w:val="21"/>
          <w:highlight w:val="none"/>
        </w:rPr>
        <w:t>：</w:t>
      </w:r>
      <w:r>
        <w:rPr>
          <w:rFonts w:hint="eastAsia" w:ascii="Times New Roman" w:hAnsi="Times New Roman" w:eastAsia="宋体" w:cs="Times New Roman"/>
          <w:szCs w:val="21"/>
          <w:lang w:val="en-US" w:eastAsia="zh-CN"/>
        </w:rPr>
        <w:t>墙面涂料</w:t>
      </w:r>
      <w:r>
        <w:rPr>
          <w:rFonts w:ascii="Times New Roman" w:hAnsi="Times New Roman" w:eastAsia="宋体" w:cs="Times New Roman"/>
          <w:szCs w:val="21"/>
        </w:rPr>
        <w:t>的制造过程，</w:t>
      </w:r>
      <w:r>
        <w:rPr>
          <w:rFonts w:hint="eastAsia" w:ascii="Times New Roman" w:hAnsi="Times New Roman" w:eastAsia="宋体" w:cs="Times New Roman"/>
          <w:szCs w:val="21"/>
        </w:rPr>
        <w:t>包括原料</w:t>
      </w:r>
      <w:r>
        <w:rPr>
          <w:rFonts w:hint="eastAsia" w:ascii="Times New Roman" w:hAnsi="Times New Roman" w:eastAsia="宋体" w:cs="Times New Roman"/>
          <w:szCs w:val="21"/>
          <w:lang w:val="en-US" w:eastAsia="zh-CN"/>
        </w:rPr>
        <w:t>处理</w:t>
      </w:r>
      <w:r>
        <w:rPr>
          <w:rFonts w:hint="eastAsia" w:ascii="Times New Roman" w:hAnsi="Times New Roman" w:eastAsia="宋体" w:cs="Times New Roman"/>
          <w:szCs w:val="21"/>
        </w:rPr>
        <w:t>、</w:t>
      </w:r>
      <w:r>
        <w:rPr>
          <w:rFonts w:hint="eastAsia" w:ascii="Times New Roman" w:hAnsi="Times New Roman" w:eastAsia="宋体" w:cs="Times New Roman"/>
          <w:szCs w:val="21"/>
          <w:lang w:val="en-US" w:eastAsia="zh-CN"/>
        </w:rPr>
        <w:t>涂料生产</w:t>
      </w: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lang w:val="en-US" w:eastAsia="zh-CN"/>
        </w:rPr>
        <w:t>产品</w:t>
      </w:r>
      <w:r>
        <w:rPr>
          <w:rFonts w:hint="eastAsia" w:ascii="Times New Roman" w:hAnsi="Times New Roman" w:eastAsia="宋体" w:cs="Times New Roman"/>
          <w:szCs w:val="21"/>
        </w:rPr>
        <w:t>包装等</w:t>
      </w:r>
      <w:r>
        <w:rPr>
          <w:rFonts w:hint="eastAsia" w:ascii="Times New Roman" w:hAnsi="Times New Roman" w:eastAsia="宋体" w:cs="Times New Roman"/>
          <w:szCs w:val="21"/>
          <w:lang w:val="en-US" w:eastAsia="zh-CN"/>
        </w:rPr>
        <w:t>全部工序</w:t>
      </w:r>
      <w:r>
        <w:rPr>
          <w:rFonts w:hint="eastAsia" w:ascii="Times New Roman" w:hAnsi="Times New Roman" w:eastAsia="宋体" w:cs="Times New Roman"/>
          <w:szCs w:val="21"/>
        </w:rPr>
        <w:t>，产品制造使用</w:t>
      </w:r>
      <w:r>
        <w:rPr>
          <w:rFonts w:ascii="Times New Roman" w:hAnsi="Times New Roman" w:eastAsia="宋体" w:cs="Times New Roman"/>
          <w:szCs w:val="21"/>
        </w:rPr>
        <w:t>能源</w:t>
      </w:r>
      <w:r>
        <w:rPr>
          <w:rFonts w:hint="eastAsia" w:ascii="Times New Roman" w:hAnsi="Times New Roman" w:eastAsia="宋体" w:cs="Times New Roman"/>
          <w:szCs w:val="21"/>
        </w:rPr>
        <w:t>（如</w:t>
      </w:r>
      <w:r>
        <w:rPr>
          <w:rFonts w:ascii="Times New Roman" w:hAnsi="Times New Roman" w:eastAsia="宋体" w:cs="Times New Roman"/>
          <w:szCs w:val="21"/>
        </w:rPr>
        <w:t>柴油、电力、蒸汽、天然气等</w:t>
      </w:r>
      <w:r>
        <w:rPr>
          <w:rFonts w:hint="eastAsia" w:ascii="Times New Roman" w:hAnsi="Times New Roman" w:eastAsia="宋体" w:cs="Times New Roman"/>
          <w:szCs w:val="21"/>
        </w:rPr>
        <w:t>）</w:t>
      </w:r>
      <w:r>
        <w:rPr>
          <w:rFonts w:ascii="Times New Roman" w:hAnsi="Times New Roman" w:eastAsia="宋体" w:cs="Times New Roman"/>
          <w:szCs w:val="21"/>
        </w:rPr>
        <w:t>的开采、加工或生产</w:t>
      </w:r>
      <w:r>
        <w:rPr>
          <w:rFonts w:hint="eastAsia" w:ascii="Times New Roman" w:hAnsi="Times New Roman" w:eastAsia="宋体" w:cs="Times New Roman"/>
          <w:szCs w:val="21"/>
        </w:rPr>
        <w:t>、运输、燃烧</w:t>
      </w:r>
      <w:r>
        <w:rPr>
          <w:rFonts w:ascii="Times New Roman" w:hAnsi="Times New Roman" w:eastAsia="宋体" w:cs="Times New Roman"/>
          <w:szCs w:val="21"/>
        </w:rPr>
        <w:t>过程</w:t>
      </w:r>
      <w:r>
        <w:rPr>
          <w:rFonts w:hint="eastAsia" w:ascii="Times New Roman" w:hAnsi="Times New Roman" w:eastAsia="宋体" w:cs="Times New Roman"/>
          <w:szCs w:val="21"/>
        </w:rPr>
        <w:t>，产品制造产生</w:t>
      </w:r>
      <w:r>
        <w:rPr>
          <w:rFonts w:ascii="Times New Roman" w:hAnsi="Times New Roman" w:eastAsia="宋体" w:cs="Times New Roman"/>
          <w:szCs w:val="21"/>
        </w:rPr>
        <w:t>污染物、固体废物处理过程</w:t>
      </w:r>
      <w:r>
        <w:rPr>
          <w:rFonts w:ascii="Times New Roman" w:hAnsi="Times New Roman" w:eastAsia="宋体" w:cs="Times New Roman"/>
          <w:szCs w:val="21"/>
          <w:highlight w:val="none"/>
        </w:rPr>
        <w:t>；</w:t>
      </w:r>
    </w:p>
    <w:p w14:paraId="794BB377">
      <w:pPr>
        <w:pStyle w:val="152"/>
        <w:numPr>
          <w:ilvl w:val="0"/>
          <w:numId w:val="14"/>
        </w:numPr>
        <w:spacing w:line="276" w:lineRule="auto"/>
        <w:ind w:left="0" w:firstLine="420"/>
        <w:rPr>
          <w:rFonts w:ascii="Times New Roman" w:hAnsi="Times New Roman" w:eastAsia="宋体" w:cs="Times New Roman"/>
          <w:szCs w:val="21"/>
          <w:highlight w:val="none"/>
        </w:rPr>
      </w:pPr>
      <w:r>
        <w:rPr>
          <w:rFonts w:ascii="Times New Roman" w:hAnsi="Times New Roman" w:eastAsia="宋体" w:cs="Times New Roman"/>
          <w:szCs w:val="21"/>
          <w:highlight w:val="none"/>
        </w:rPr>
        <w:t>厂内运输</w:t>
      </w:r>
      <w:r>
        <w:rPr>
          <w:rFonts w:hint="eastAsia" w:ascii="Times New Roman" w:hAnsi="Times New Roman" w:eastAsia="宋体" w:cs="Times New Roman"/>
          <w:szCs w:val="21"/>
          <w:highlight w:val="none"/>
          <w:lang w:eastAsia="zh-CN"/>
        </w:rPr>
        <w:t>（</w:t>
      </w:r>
      <w:r>
        <w:rPr>
          <w:rFonts w:hint="eastAsia" w:ascii="Times New Roman" w:hAnsi="Times New Roman" w:eastAsia="宋体" w:cs="Times New Roman"/>
          <w:szCs w:val="21"/>
          <w:highlight w:val="none"/>
          <w:lang w:val="en-US" w:eastAsia="zh-CN"/>
        </w:rPr>
        <w:t>B2</w:t>
      </w:r>
      <w:r>
        <w:rPr>
          <w:rFonts w:hint="eastAsia" w:ascii="Times New Roman" w:hAnsi="Times New Roman" w:eastAsia="宋体" w:cs="Times New Roman"/>
          <w:szCs w:val="21"/>
          <w:highlight w:val="none"/>
          <w:lang w:eastAsia="zh-CN"/>
        </w:rPr>
        <w:t>）</w:t>
      </w:r>
      <w:r>
        <w:rPr>
          <w:rFonts w:ascii="Times New Roman" w:hAnsi="Times New Roman" w:eastAsia="宋体" w:cs="Times New Roman"/>
          <w:szCs w:val="21"/>
          <w:highlight w:val="none"/>
        </w:rPr>
        <w:t>：</w:t>
      </w:r>
      <w:r>
        <w:rPr>
          <w:rFonts w:ascii="Times New Roman" w:hAnsi="Times New Roman" w:eastAsia="宋体" w:cs="Times New Roman"/>
          <w:szCs w:val="21"/>
        </w:rPr>
        <w:t>原料、能源、产品、固体废物等在工厂内部的运输过程</w:t>
      </w:r>
      <w:r>
        <w:rPr>
          <w:rFonts w:ascii="Times New Roman" w:hAnsi="Times New Roman" w:eastAsia="宋体" w:cs="Times New Roman"/>
          <w:szCs w:val="21"/>
          <w:highlight w:val="none"/>
        </w:rPr>
        <w:t>。</w:t>
      </w:r>
    </w:p>
    <w:p w14:paraId="7821F167">
      <w:pPr>
        <w:pStyle w:val="47"/>
        <w:numPr>
          <w:ilvl w:val="2"/>
          <w:numId w:val="11"/>
        </w:numPr>
        <w:adjustRightInd w:val="0"/>
        <w:snapToGrid w:val="0"/>
        <w:spacing w:beforeLines="0" w:afterLines="0" w:line="360" w:lineRule="exact"/>
        <w:ind w:left="0" w:firstLine="0"/>
        <w:jc w:val="both"/>
        <w:outlineLvl w:val="9"/>
        <w:rPr>
          <w:rFonts w:ascii="Times New Roman" w:eastAsia="宋体"/>
        </w:rPr>
      </w:pPr>
      <w:r>
        <w:rPr>
          <w:rFonts w:ascii="Times New Roman" w:eastAsia="宋体"/>
        </w:rPr>
        <w:t>产品分销阶段（C），从最终产品离开</w:t>
      </w:r>
      <w:r>
        <w:rPr>
          <w:rFonts w:hint="eastAsia" w:ascii="Times New Roman" w:eastAsia="宋体"/>
          <w:lang w:val="en-US" w:eastAsia="zh-CN"/>
        </w:rPr>
        <w:t>涂料</w:t>
      </w:r>
      <w:r>
        <w:rPr>
          <w:rFonts w:ascii="Times New Roman" w:eastAsia="宋体"/>
        </w:rPr>
        <w:t>制造工厂开始，到下游供应商或消费者获得产品</w:t>
      </w:r>
      <w:r>
        <w:rPr>
          <w:rFonts w:hint="eastAsia" w:ascii="Times New Roman" w:eastAsia="宋体"/>
          <w:lang w:val="en-US" w:eastAsia="zh-CN"/>
        </w:rPr>
        <w:t>并使用</w:t>
      </w:r>
      <w:r>
        <w:rPr>
          <w:rFonts w:ascii="Times New Roman" w:eastAsia="宋体"/>
        </w:rPr>
        <w:t>时终止，包括：</w:t>
      </w:r>
    </w:p>
    <w:p w14:paraId="7A962FF0">
      <w:pPr>
        <w:pStyle w:val="152"/>
        <w:numPr>
          <w:ilvl w:val="0"/>
          <w:numId w:val="15"/>
        </w:numPr>
        <w:spacing w:line="276" w:lineRule="auto"/>
        <w:ind w:left="0" w:firstLine="420"/>
        <w:rPr>
          <w:rFonts w:ascii="Times New Roman" w:hAnsi="Times New Roman" w:eastAsia="宋体" w:cs="Times New Roman"/>
          <w:szCs w:val="21"/>
          <w:highlight w:val="none"/>
        </w:rPr>
      </w:pPr>
      <w:r>
        <w:rPr>
          <w:rFonts w:ascii="Times New Roman" w:hAnsi="Times New Roman" w:eastAsia="宋体" w:cs="Times New Roman"/>
          <w:szCs w:val="21"/>
          <w:highlight w:val="none"/>
        </w:rPr>
        <w:t>出厂运输</w:t>
      </w:r>
      <w:r>
        <w:rPr>
          <w:rFonts w:hint="eastAsia" w:ascii="Times New Roman" w:hAnsi="Times New Roman" w:eastAsia="宋体" w:cs="Times New Roman"/>
          <w:szCs w:val="21"/>
          <w:highlight w:val="none"/>
          <w:lang w:eastAsia="zh-CN"/>
        </w:rPr>
        <w:t>（</w:t>
      </w:r>
      <w:r>
        <w:rPr>
          <w:rFonts w:ascii="Times New Roman" w:hAnsi="Times New Roman" w:eastAsia="宋体" w:cs="Times New Roman"/>
          <w:szCs w:val="21"/>
          <w:highlight w:val="none"/>
        </w:rPr>
        <w:t>C1</w:t>
      </w:r>
      <w:r>
        <w:rPr>
          <w:rFonts w:hint="eastAsia" w:ascii="Times New Roman" w:hAnsi="Times New Roman" w:eastAsia="宋体" w:cs="Times New Roman"/>
          <w:szCs w:val="21"/>
          <w:highlight w:val="none"/>
          <w:lang w:eastAsia="zh-CN"/>
        </w:rPr>
        <w:t>）</w:t>
      </w:r>
      <w:r>
        <w:rPr>
          <w:rFonts w:ascii="Times New Roman" w:hAnsi="Times New Roman" w:eastAsia="宋体" w:cs="Times New Roman"/>
          <w:szCs w:val="21"/>
          <w:highlight w:val="none"/>
        </w:rPr>
        <w:t>：</w:t>
      </w:r>
      <w:r>
        <w:rPr>
          <w:rFonts w:hint="eastAsia" w:ascii="Times New Roman" w:hAnsi="Times New Roman" w:eastAsia="宋体" w:cs="Times New Roman"/>
          <w:szCs w:val="21"/>
          <w:lang w:val="en-US" w:eastAsia="zh-CN"/>
        </w:rPr>
        <w:t>产品出厂后运输至交付地点，可沿着供应链将其储存在各点，包括运输车辆的燃料使用等；</w:t>
      </w:r>
    </w:p>
    <w:p w14:paraId="503935A4">
      <w:pPr>
        <w:pStyle w:val="152"/>
        <w:numPr>
          <w:ilvl w:val="0"/>
          <w:numId w:val="15"/>
        </w:numPr>
        <w:spacing w:line="276" w:lineRule="auto"/>
        <w:ind w:left="0" w:firstLine="420"/>
        <w:rPr>
          <w:rFonts w:ascii="Times New Roman" w:hAnsi="Times New Roman" w:eastAsia="宋体" w:cs="Times New Roman"/>
          <w:szCs w:val="21"/>
          <w:highlight w:val="none"/>
        </w:rPr>
      </w:pPr>
      <w:r>
        <w:rPr>
          <w:rFonts w:ascii="Times New Roman" w:hAnsi="Times New Roman" w:eastAsia="宋体" w:cs="Times New Roman"/>
          <w:szCs w:val="21"/>
          <w:highlight w:val="none"/>
        </w:rPr>
        <w:t>仓储/销售</w:t>
      </w:r>
      <w:r>
        <w:rPr>
          <w:rFonts w:hint="eastAsia" w:ascii="Times New Roman" w:hAnsi="Times New Roman" w:eastAsia="宋体" w:cs="Times New Roman"/>
          <w:szCs w:val="21"/>
          <w:highlight w:val="none"/>
          <w:lang w:eastAsia="zh-CN"/>
        </w:rPr>
        <w:t>（</w:t>
      </w:r>
      <w:r>
        <w:rPr>
          <w:rFonts w:hint="eastAsia" w:ascii="Times New Roman" w:hAnsi="Times New Roman" w:eastAsia="宋体" w:cs="Times New Roman"/>
          <w:szCs w:val="21"/>
          <w:highlight w:val="none"/>
          <w:lang w:val="en-US" w:eastAsia="zh-CN"/>
        </w:rPr>
        <w:t>C2</w:t>
      </w:r>
      <w:r>
        <w:rPr>
          <w:rFonts w:hint="eastAsia" w:ascii="Times New Roman" w:hAnsi="Times New Roman" w:eastAsia="宋体" w:cs="Times New Roman"/>
          <w:szCs w:val="21"/>
          <w:highlight w:val="none"/>
          <w:lang w:eastAsia="zh-CN"/>
        </w:rPr>
        <w:t>）</w:t>
      </w:r>
      <w:r>
        <w:rPr>
          <w:rFonts w:ascii="Times New Roman" w:hAnsi="Times New Roman" w:eastAsia="宋体" w:cs="Times New Roman"/>
          <w:szCs w:val="21"/>
          <w:highlight w:val="none"/>
        </w:rPr>
        <w:t>：产品中间储存、中转及批发与零售过程。</w:t>
      </w:r>
    </w:p>
    <w:p w14:paraId="1CD2CBB2">
      <w:pPr>
        <w:pStyle w:val="47"/>
        <w:numPr>
          <w:ilvl w:val="2"/>
          <w:numId w:val="11"/>
        </w:numPr>
        <w:adjustRightInd w:val="0"/>
        <w:snapToGrid w:val="0"/>
        <w:spacing w:beforeLines="0" w:afterLines="0" w:line="360" w:lineRule="exact"/>
        <w:ind w:left="0" w:firstLine="0"/>
        <w:jc w:val="both"/>
        <w:outlineLvl w:val="9"/>
        <w:rPr>
          <w:rFonts w:ascii="Times New Roman" w:eastAsia="宋体"/>
        </w:rPr>
      </w:pPr>
      <w:r>
        <w:rPr>
          <w:rFonts w:hint="eastAsia" w:ascii="Times New Roman" w:eastAsia="宋体"/>
          <w:lang w:val="en-US" w:eastAsia="zh-CN"/>
        </w:rPr>
        <w:t>施工使用阶段</w:t>
      </w:r>
      <w:r>
        <w:rPr>
          <w:rFonts w:ascii="Times New Roman" w:eastAsia="宋体"/>
        </w:rPr>
        <w:t>（</w:t>
      </w:r>
      <w:r>
        <w:rPr>
          <w:rFonts w:hint="eastAsia" w:ascii="Times New Roman" w:eastAsia="宋体"/>
          <w:lang w:val="en-US" w:eastAsia="zh-CN"/>
        </w:rPr>
        <w:t>D</w:t>
      </w:r>
      <w:r>
        <w:rPr>
          <w:rFonts w:ascii="Times New Roman" w:eastAsia="宋体"/>
        </w:rPr>
        <w:t>）</w:t>
      </w:r>
      <w:r>
        <w:rPr>
          <w:rFonts w:hint="eastAsia" w:ascii="Times New Roman" w:eastAsia="宋体"/>
          <w:lang w:eastAsia="zh-CN"/>
        </w:rPr>
        <w:t>，</w:t>
      </w:r>
      <w:r>
        <w:rPr>
          <w:rFonts w:hint="eastAsia" w:ascii="Times New Roman" w:hAnsi="Times New Roman" w:eastAsia="宋体" w:cs="Times New Roman"/>
          <w:szCs w:val="21"/>
          <w:lang w:val="en-US" w:eastAsia="zh-CN"/>
        </w:rPr>
        <w:t>始于消费者拥有产品，结束于水性建筑涂料使用过程向环境挥发</w:t>
      </w:r>
      <w:r>
        <w:rPr>
          <w:rFonts w:ascii="Times New Roman" w:eastAsia="宋体"/>
        </w:rPr>
        <w:t>，包括：</w:t>
      </w:r>
    </w:p>
    <w:p w14:paraId="4358931E">
      <w:pPr>
        <w:pStyle w:val="152"/>
        <w:numPr>
          <w:ilvl w:val="0"/>
          <w:numId w:val="16"/>
        </w:numPr>
        <w:spacing w:line="276" w:lineRule="auto"/>
        <w:ind w:left="0" w:firstLine="420"/>
        <w:rPr>
          <w:rFonts w:ascii="Times New Roman" w:hAnsi="Times New Roman" w:eastAsia="宋体" w:cs="Times New Roman"/>
          <w:szCs w:val="21"/>
          <w:highlight w:val="none"/>
        </w:rPr>
      </w:pPr>
      <w:r>
        <w:rPr>
          <w:rFonts w:hint="eastAsia" w:ascii="Times New Roman" w:hAnsi="Times New Roman" w:eastAsia="宋体" w:cs="Times New Roman"/>
          <w:szCs w:val="21"/>
          <w:highlight w:val="none"/>
          <w:lang w:val="en-US" w:eastAsia="zh-CN"/>
        </w:rPr>
        <w:t>产品施工（D1）：</w:t>
      </w:r>
      <w:r>
        <w:rPr>
          <w:rFonts w:ascii="Times New Roman" w:hAnsi="Times New Roman" w:eastAsia="宋体" w:cs="Times New Roman"/>
          <w:szCs w:val="21"/>
          <w:highlight w:val="none"/>
        </w:rPr>
        <w:t>将产品</w:t>
      </w:r>
      <w:r>
        <w:rPr>
          <w:rFonts w:hint="eastAsia" w:ascii="Times New Roman" w:hAnsi="Times New Roman" w:eastAsia="宋体" w:cs="Times New Roman"/>
          <w:szCs w:val="21"/>
          <w:highlight w:val="none"/>
          <w:lang w:eastAsia="zh-CN"/>
        </w:rPr>
        <w:t>施工使用</w:t>
      </w:r>
      <w:r>
        <w:rPr>
          <w:rFonts w:ascii="Times New Roman" w:hAnsi="Times New Roman" w:eastAsia="宋体" w:cs="Times New Roman"/>
          <w:szCs w:val="21"/>
          <w:highlight w:val="none"/>
        </w:rPr>
        <w:t>到工程的过程；</w:t>
      </w:r>
    </w:p>
    <w:p w14:paraId="29339CA0">
      <w:pPr>
        <w:pStyle w:val="152"/>
        <w:numPr>
          <w:ilvl w:val="0"/>
          <w:numId w:val="16"/>
        </w:numPr>
        <w:spacing w:line="276" w:lineRule="auto"/>
        <w:ind w:left="0" w:firstLine="420"/>
        <w:rPr>
          <w:rFonts w:ascii="Times New Roman" w:hAnsi="Times New Roman" w:eastAsia="宋体" w:cs="Times New Roman"/>
          <w:kern w:val="0"/>
          <w:szCs w:val="20"/>
          <w:highlight w:val="none"/>
        </w:rPr>
      </w:pPr>
      <w:r>
        <w:rPr>
          <w:rFonts w:ascii="Times New Roman" w:hAnsi="Times New Roman" w:eastAsia="宋体" w:cs="Times New Roman"/>
          <w:szCs w:val="21"/>
          <w:highlight w:val="none"/>
        </w:rPr>
        <w:t>产品使用</w:t>
      </w:r>
      <w:r>
        <w:rPr>
          <w:rFonts w:hint="eastAsia" w:ascii="Times New Roman" w:hAnsi="Times New Roman" w:eastAsia="宋体" w:cs="Times New Roman"/>
          <w:szCs w:val="21"/>
          <w:highlight w:val="none"/>
          <w:lang w:eastAsia="zh-CN"/>
        </w:rPr>
        <w:t>（</w:t>
      </w:r>
      <w:r>
        <w:rPr>
          <w:rFonts w:ascii="Times New Roman" w:hAnsi="Times New Roman" w:eastAsia="宋体" w:cs="Times New Roman"/>
          <w:szCs w:val="21"/>
          <w:highlight w:val="none"/>
        </w:rPr>
        <w:t>D2</w:t>
      </w:r>
      <w:r>
        <w:rPr>
          <w:rFonts w:hint="eastAsia" w:ascii="Times New Roman" w:hAnsi="Times New Roman" w:eastAsia="宋体" w:cs="Times New Roman"/>
          <w:szCs w:val="21"/>
          <w:highlight w:val="none"/>
          <w:lang w:eastAsia="zh-CN"/>
        </w:rPr>
        <w:t>）</w:t>
      </w:r>
      <w:r>
        <w:rPr>
          <w:rFonts w:ascii="Times New Roman" w:hAnsi="Times New Roman" w:eastAsia="宋体" w:cs="Times New Roman"/>
          <w:szCs w:val="21"/>
          <w:highlight w:val="none"/>
        </w:rPr>
        <w:t>：已</w:t>
      </w:r>
      <w:r>
        <w:rPr>
          <w:rFonts w:hint="eastAsia" w:ascii="Times New Roman" w:hAnsi="Times New Roman" w:eastAsia="宋体" w:cs="Times New Roman"/>
          <w:szCs w:val="21"/>
          <w:highlight w:val="none"/>
          <w:lang w:eastAsia="zh-CN"/>
        </w:rPr>
        <w:t>施工</w:t>
      </w:r>
      <w:r>
        <w:rPr>
          <w:rFonts w:ascii="Times New Roman" w:hAnsi="Times New Roman" w:eastAsia="宋体" w:cs="Times New Roman"/>
          <w:szCs w:val="21"/>
          <w:highlight w:val="none"/>
        </w:rPr>
        <w:t>产品的使用或应用过程，包含与产品正常（预期）使用相关的环境</w:t>
      </w:r>
      <w:r>
        <w:rPr>
          <w:rFonts w:ascii="Times New Roman" w:hAnsi="Times New Roman" w:eastAsia="宋体" w:cs="Times New Roman"/>
          <w:highlight w:val="none"/>
        </w:rPr>
        <w:t>影响，同时应考虑产品的寿命</w:t>
      </w:r>
      <w:r>
        <w:rPr>
          <w:rFonts w:hint="eastAsia" w:ascii="Times New Roman" w:hAnsi="Times New Roman" w:eastAsia="宋体" w:cs="Times New Roman"/>
          <w:highlight w:val="none"/>
          <w:lang w:eastAsia="zh-CN"/>
        </w:rPr>
        <w:t>。</w:t>
      </w:r>
    </w:p>
    <w:p w14:paraId="3224C09B">
      <w:pPr>
        <w:pStyle w:val="47"/>
        <w:numPr>
          <w:ilvl w:val="2"/>
          <w:numId w:val="11"/>
        </w:numPr>
        <w:adjustRightInd w:val="0"/>
        <w:snapToGrid w:val="0"/>
        <w:spacing w:beforeLines="0" w:afterLines="0" w:line="360" w:lineRule="exact"/>
        <w:ind w:left="0" w:firstLine="0"/>
        <w:jc w:val="both"/>
        <w:outlineLvl w:val="9"/>
        <w:rPr>
          <w:rFonts w:ascii="Times New Roman" w:eastAsia="宋体"/>
        </w:rPr>
      </w:pPr>
      <w:r>
        <w:rPr>
          <w:rFonts w:ascii="Times New Roman" w:eastAsia="宋体"/>
        </w:rPr>
        <w:t>生命末期阶段（E），</w:t>
      </w:r>
      <w:r>
        <w:rPr>
          <w:rFonts w:hint="eastAsia" w:ascii="宋体" w:hAnsi="宋体" w:eastAsia="宋体" w:cs="宋体"/>
          <w:color w:val="000000"/>
          <w:kern w:val="0"/>
          <w:sz w:val="21"/>
          <w:szCs w:val="21"/>
          <w:lang w:val="en-US" w:eastAsia="zh-CN" w:bidi="ar"/>
        </w:rPr>
        <w:t>该阶段始于</w:t>
      </w:r>
      <w:r>
        <w:rPr>
          <w:rFonts w:hint="eastAsia" w:ascii="Times New Roman" w:hAnsi="Times New Roman" w:eastAsia="宋体" w:cs="Times New Roman"/>
          <w:szCs w:val="21"/>
          <w:highlight w:val="none"/>
          <w:lang w:eastAsia="zh-CN"/>
        </w:rPr>
        <w:t>建筑墙面</w:t>
      </w:r>
      <w:r>
        <w:rPr>
          <w:rFonts w:hint="eastAsia" w:ascii="Times New Roman" w:hAnsi="Times New Roman" w:eastAsia="宋体" w:cs="Times New Roman"/>
          <w:szCs w:val="21"/>
          <w:highlight w:val="none"/>
          <w:lang w:val="en-US" w:eastAsia="zh-CN"/>
        </w:rPr>
        <w:t>废弃涂层</w:t>
      </w:r>
      <w:r>
        <w:rPr>
          <w:rFonts w:hint="eastAsia" w:ascii="宋体" w:hAnsi="宋体" w:eastAsia="宋体" w:cs="宋体"/>
          <w:color w:val="000000"/>
          <w:kern w:val="0"/>
          <w:sz w:val="21"/>
          <w:szCs w:val="21"/>
          <w:lang w:val="en-US" w:eastAsia="zh-CN" w:bidi="ar"/>
        </w:rPr>
        <w:t>废弃、拆除，</w:t>
      </w:r>
      <w:r>
        <w:rPr>
          <w:rFonts w:ascii="Times New Roman" w:eastAsia="宋体"/>
        </w:rPr>
        <w:t>运输到回收处理或处置地点</w:t>
      </w:r>
      <w:r>
        <w:rPr>
          <w:rFonts w:hint="eastAsia" w:ascii="Times New Roman" w:eastAsia="宋体"/>
          <w:lang w:eastAsia="zh-CN"/>
        </w:rPr>
        <w:t>，</w:t>
      </w:r>
      <w:r>
        <w:rPr>
          <w:rFonts w:hint="eastAsia" w:ascii="宋体" w:hAnsi="宋体" w:eastAsia="宋体" w:cs="宋体"/>
          <w:color w:val="000000"/>
          <w:kern w:val="0"/>
          <w:sz w:val="21"/>
          <w:szCs w:val="21"/>
          <w:lang w:val="en-US" w:eastAsia="zh-CN" w:bidi="ar"/>
        </w:rPr>
        <w:t>结束于产品作为固体废弃物处理后进入大自然的生命周期</w:t>
      </w:r>
      <w:r>
        <w:rPr>
          <w:rFonts w:ascii="Times New Roman" w:eastAsia="宋体"/>
        </w:rPr>
        <w:t>，包括：</w:t>
      </w:r>
    </w:p>
    <w:p w14:paraId="0F38687B">
      <w:pPr>
        <w:pStyle w:val="152"/>
        <w:numPr>
          <w:ilvl w:val="0"/>
          <w:numId w:val="17"/>
        </w:numPr>
        <w:spacing w:line="276" w:lineRule="auto"/>
        <w:ind w:left="0" w:firstLine="420"/>
        <w:rPr>
          <w:rFonts w:ascii="Times New Roman" w:hAnsi="Times New Roman" w:eastAsia="宋体" w:cs="Times New Roman"/>
          <w:szCs w:val="21"/>
          <w:highlight w:val="none"/>
        </w:rPr>
      </w:pPr>
      <w:r>
        <w:rPr>
          <w:rFonts w:hint="eastAsia" w:ascii="Times New Roman" w:hAnsi="Times New Roman" w:eastAsia="宋体" w:cs="Times New Roman"/>
          <w:szCs w:val="21"/>
          <w:highlight w:val="none"/>
          <w:lang w:val="en-US" w:eastAsia="zh-CN"/>
        </w:rPr>
        <w:t>废弃涂层</w:t>
      </w:r>
      <w:r>
        <w:rPr>
          <w:rFonts w:ascii="Times New Roman" w:hAnsi="Times New Roman" w:eastAsia="宋体" w:cs="Times New Roman"/>
          <w:szCs w:val="21"/>
          <w:highlight w:val="none"/>
        </w:rPr>
        <w:t>拆除</w:t>
      </w:r>
      <w:r>
        <w:rPr>
          <w:rFonts w:hint="default" w:ascii="Times New Roman" w:hAnsi="Times New Roman" w:cs="Times New Roman"/>
          <w:highlight w:val="none"/>
          <w:lang w:eastAsia="zh-CN"/>
        </w:rPr>
        <w:t>（</w:t>
      </w:r>
      <w:r>
        <w:rPr>
          <w:rFonts w:hint="default" w:ascii="Times New Roman" w:hAnsi="Times New Roman" w:cs="Times New Roman"/>
          <w:highlight w:val="none"/>
          <w:lang w:val="en-US" w:eastAsia="zh-CN"/>
        </w:rPr>
        <w:t>E1</w:t>
      </w:r>
      <w:r>
        <w:rPr>
          <w:rFonts w:hint="default" w:ascii="Times New Roman" w:hAnsi="Times New Roman" w:cs="Times New Roman"/>
          <w:highlight w:val="none"/>
          <w:lang w:eastAsia="zh-CN"/>
        </w:rPr>
        <w:t>）</w:t>
      </w:r>
      <w:r>
        <w:rPr>
          <w:rFonts w:ascii="Times New Roman" w:hAnsi="Times New Roman" w:eastAsia="宋体" w:cs="Times New Roman"/>
          <w:szCs w:val="21"/>
          <w:highlight w:val="none"/>
        </w:rPr>
        <w:t>：</w:t>
      </w:r>
      <w:r>
        <w:rPr>
          <w:rFonts w:hint="eastAsia" w:ascii="Times New Roman" w:hAnsi="Times New Roman" w:eastAsia="宋体" w:cs="Times New Roman"/>
          <w:szCs w:val="21"/>
          <w:highlight w:val="none"/>
          <w:lang w:eastAsia="zh-CN"/>
        </w:rPr>
        <w:t>建筑墙面</w:t>
      </w:r>
      <w:r>
        <w:rPr>
          <w:rFonts w:hint="eastAsia" w:ascii="Times New Roman" w:hAnsi="Times New Roman" w:eastAsia="宋体" w:cs="Times New Roman"/>
          <w:szCs w:val="21"/>
          <w:highlight w:val="none"/>
          <w:lang w:val="en-US" w:eastAsia="zh-CN"/>
        </w:rPr>
        <w:t>废弃涂层</w:t>
      </w:r>
      <w:r>
        <w:rPr>
          <w:rFonts w:ascii="Times New Roman" w:hAnsi="Times New Roman" w:eastAsia="宋体" w:cs="Times New Roman"/>
          <w:szCs w:val="21"/>
          <w:highlight w:val="none"/>
        </w:rPr>
        <w:t>从工程中拆除或拆解、筛分；</w:t>
      </w:r>
    </w:p>
    <w:p w14:paraId="48335E87">
      <w:pPr>
        <w:pStyle w:val="152"/>
        <w:numPr>
          <w:ilvl w:val="0"/>
          <w:numId w:val="17"/>
        </w:numPr>
        <w:spacing w:line="276" w:lineRule="auto"/>
        <w:ind w:left="0" w:firstLine="420"/>
        <w:rPr>
          <w:rFonts w:ascii="Times New Roman" w:hAnsi="Times New Roman" w:eastAsia="宋体" w:cs="Times New Roman"/>
          <w:szCs w:val="21"/>
          <w:highlight w:val="none"/>
        </w:rPr>
      </w:pPr>
      <w:r>
        <w:rPr>
          <w:rFonts w:ascii="Times New Roman" w:hAnsi="Times New Roman" w:eastAsia="宋体" w:cs="Times New Roman"/>
          <w:szCs w:val="21"/>
          <w:highlight w:val="none"/>
        </w:rPr>
        <w:t>废弃产品运输</w:t>
      </w:r>
      <w:r>
        <w:rPr>
          <w:rFonts w:hint="eastAsia" w:ascii="Times New Roman" w:hAnsi="Times New Roman" w:eastAsia="宋体" w:cs="Times New Roman"/>
          <w:szCs w:val="21"/>
          <w:highlight w:val="none"/>
          <w:lang w:eastAsia="zh-CN"/>
        </w:rPr>
        <w:t>（</w:t>
      </w:r>
      <w:r>
        <w:rPr>
          <w:rFonts w:ascii="Times New Roman" w:hAnsi="Times New Roman" w:eastAsia="宋体" w:cs="Times New Roman"/>
          <w:szCs w:val="21"/>
          <w:highlight w:val="none"/>
        </w:rPr>
        <w:t>E2</w:t>
      </w:r>
      <w:r>
        <w:rPr>
          <w:rFonts w:hint="eastAsia" w:ascii="Times New Roman" w:hAnsi="Times New Roman" w:eastAsia="宋体" w:cs="Times New Roman"/>
          <w:szCs w:val="21"/>
          <w:highlight w:val="none"/>
          <w:lang w:eastAsia="zh-CN"/>
        </w:rPr>
        <w:t>）</w:t>
      </w:r>
      <w:r>
        <w:rPr>
          <w:rFonts w:ascii="Times New Roman" w:hAnsi="Times New Roman" w:eastAsia="宋体" w:cs="Times New Roman"/>
          <w:szCs w:val="21"/>
          <w:highlight w:val="none"/>
        </w:rPr>
        <w:t>：将废弃产品运输到回收利用或处置场地；</w:t>
      </w:r>
    </w:p>
    <w:p w14:paraId="689F026C">
      <w:pPr>
        <w:pStyle w:val="152"/>
        <w:numPr>
          <w:ilvl w:val="0"/>
          <w:numId w:val="17"/>
        </w:numPr>
        <w:spacing w:line="276" w:lineRule="auto"/>
        <w:ind w:left="0" w:firstLine="420"/>
        <w:rPr>
          <w:rFonts w:ascii="Times New Roman" w:hAnsi="Times New Roman" w:eastAsia="宋体" w:cs="Times New Roman"/>
          <w:szCs w:val="21"/>
          <w:highlight w:val="none"/>
        </w:rPr>
      </w:pPr>
      <w:r>
        <w:rPr>
          <w:rFonts w:ascii="Times New Roman" w:hAnsi="Times New Roman" w:eastAsia="宋体" w:cs="Times New Roman"/>
          <w:szCs w:val="21"/>
          <w:highlight w:val="none"/>
        </w:rPr>
        <w:t>最终处置</w:t>
      </w:r>
      <w:r>
        <w:rPr>
          <w:rFonts w:hint="eastAsia" w:ascii="Times New Roman" w:hAnsi="Times New Roman" w:eastAsia="宋体" w:cs="Times New Roman"/>
          <w:szCs w:val="21"/>
          <w:highlight w:val="none"/>
          <w:lang w:val="en-US" w:eastAsia="zh-CN"/>
        </w:rPr>
        <w:t>与回收利用</w:t>
      </w:r>
      <w:r>
        <w:rPr>
          <w:rFonts w:hint="eastAsia" w:ascii="Times New Roman" w:hAnsi="Times New Roman" w:eastAsia="宋体" w:cs="Times New Roman"/>
          <w:szCs w:val="21"/>
          <w:highlight w:val="none"/>
          <w:lang w:eastAsia="zh-CN"/>
        </w:rPr>
        <w:t>（</w:t>
      </w:r>
      <w:r>
        <w:rPr>
          <w:rFonts w:hint="eastAsia" w:ascii="Times New Roman" w:hAnsi="Times New Roman" w:eastAsia="宋体" w:cs="Times New Roman"/>
          <w:szCs w:val="21"/>
          <w:highlight w:val="none"/>
        </w:rPr>
        <w:t>E3</w:t>
      </w:r>
      <w:r>
        <w:rPr>
          <w:rFonts w:hint="eastAsia" w:ascii="Times New Roman" w:hAnsi="Times New Roman" w:eastAsia="宋体" w:cs="Times New Roman"/>
          <w:szCs w:val="21"/>
          <w:highlight w:val="none"/>
          <w:lang w:eastAsia="zh-CN"/>
        </w:rPr>
        <w:t>）</w:t>
      </w:r>
      <w:r>
        <w:rPr>
          <w:rFonts w:ascii="Times New Roman" w:hAnsi="Times New Roman" w:eastAsia="宋体" w:cs="Times New Roman"/>
          <w:szCs w:val="21"/>
          <w:highlight w:val="none"/>
        </w:rPr>
        <w:t>：依据</w:t>
      </w:r>
      <w:r>
        <w:rPr>
          <w:rFonts w:hint="eastAsia" w:ascii="Times New Roman" w:hAnsi="Times New Roman" w:eastAsia="宋体" w:cs="Times New Roman"/>
          <w:szCs w:val="21"/>
          <w:highlight w:val="none"/>
        </w:rPr>
        <w:t>相关</w:t>
      </w:r>
      <w:r>
        <w:rPr>
          <w:rFonts w:ascii="Times New Roman" w:hAnsi="Times New Roman" w:eastAsia="宋体" w:cs="Times New Roman"/>
          <w:szCs w:val="21"/>
          <w:highlight w:val="none"/>
        </w:rPr>
        <w:t>要求进行废弃产品处置，包括</w:t>
      </w:r>
      <w:r>
        <w:rPr>
          <w:rFonts w:hint="eastAsia" w:ascii="Times New Roman" w:hAnsi="Times New Roman" w:eastAsia="宋体" w:cs="Times New Roman"/>
          <w:szCs w:val="21"/>
          <w:highlight w:val="none"/>
          <w:lang w:eastAsia="zh-CN"/>
        </w:rPr>
        <w:t>回收利用</w:t>
      </w:r>
      <w:r>
        <w:rPr>
          <w:rFonts w:hint="eastAsia" w:ascii="Times New Roman" w:hAnsi="Times New Roman" w:eastAsia="宋体" w:cs="Times New Roman"/>
          <w:szCs w:val="21"/>
          <w:highlight w:val="none"/>
        </w:rPr>
        <w:t>、</w:t>
      </w:r>
      <w:r>
        <w:rPr>
          <w:rFonts w:ascii="Times New Roman" w:hAnsi="Times New Roman" w:eastAsia="宋体" w:cs="Times New Roman"/>
          <w:szCs w:val="21"/>
          <w:highlight w:val="none"/>
        </w:rPr>
        <w:t>焚烧、填埋及相关预处理过程</w:t>
      </w:r>
      <w:r>
        <w:rPr>
          <w:rFonts w:hint="eastAsia" w:ascii="Times New Roman" w:hAnsi="Times New Roman" w:eastAsia="宋体" w:cs="Times New Roman"/>
          <w:szCs w:val="21"/>
          <w:highlight w:val="none"/>
          <w:lang w:eastAsia="zh-CN"/>
        </w:rPr>
        <w:t>，</w:t>
      </w:r>
      <w:r>
        <w:rPr>
          <w:rFonts w:ascii="Times New Roman" w:hAnsi="Times New Roman" w:eastAsia="宋体" w:cs="Times New Roman"/>
          <w:szCs w:val="21"/>
          <w:highlight w:val="none"/>
        </w:rPr>
        <w:t>利用废弃产品进行</w:t>
      </w:r>
      <w:r>
        <w:rPr>
          <w:rFonts w:hint="eastAsia" w:ascii="Times New Roman" w:hAnsi="Times New Roman" w:eastAsia="宋体" w:cs="Times New Roman"/>
          <w:szCs w:val="21"/>
          <w:highlight w:val="none"/>
          <w:lang w:eastAsia="zh-CN"/>
        </w:rPr>
        <w:t>回收利用</w:t>
      </w:r>
      <w:r>
        <w:rPr>
          <w:rFonts w:ascii="Times New Roman" w:hAnsi="Times New Roman" w:eastAsia="宋体" w:cs="Times New Roman"/>
          <w:szCs w:val="21"/>
          <w:highlight w:val="none"/>
        </w:rPr>
        <w:t>、能量回收等过程</w:t>
      </w:r>
      <w:r>
        <w:rPr>
          <w:rFonts w:hint="eastAsia" w:ascii="Times New Roman" w:hAnsi="Times New Roman" w:eastAsia="宋体" w:cs="Times New Roman"/>
          <w:szCs w:val="21"/>
          <w:highlight w:val="none"/>
        </w:rPr>
        <w:t>。</w:t>
      </w:r>
    </w:p>
    <w:p w14:paraId="0211B68A">
      <w:pPr>
        <w:pStyle w:val="47"/>
        <w:numPr>
          <w:ilvl w:val="1"/>
          <w:numId w:val="11"/>
        </w:numPr>
        <w:adjustRightInd w:val="0"/>
        <w:snapToGrid w:val="0"/>
        <w:spacing w:before="120" w:beforeLines="-2147483648" w:after="120" w:afterLines="-2147483648" w:line="360" w:lineRule="exact"/>
        <w:ind w:left="420" w:hanging="420" w:hangingChars="200"/>
        <w:jc w:val="both"/>
        <w:outlineLvl w:val="1"/>
        <w:rPr>
          <w:rFonts w:ascii="Times New Roman"/>
          <w:color w:val="000000"/>
        </w:rPr>
      </w:pPr>
      <w:r>
        <w:rPr>
          <w:rFonts w:ascii="Times New Roman"/>
          <w:color w:val="000000"/>
        </w:rPr>
        <w:t>功能单位</w:t>
      </w:r>
    </w:p>
    <w:p w14:paraId="29851570">
      <w:pPr>
        <w:keepNext w:val="0"/>
        <w:keepLines w:val="0"/>
        <w:widowControl/>
        <w:suppressLineNumbers w:val="0"/>
        <w:ind w:firstLine="420" w:firstLineChars="20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当系统边界为“A-E”时，应使用功能单位。功能单位应涵盖以下信息：</w:t>
      </w:r>
    </w:p>
    <w:p w14:paraId="708626BD">
      <w:pPr>
        <w:keepNext w:val="0"/>
        <w:keepLines w:val="0"/>
        <w:widowControl/>
        <w:suppressLineNumbers w:val="0"/>
        <w:ind w:firstLine="420" w:firstLineChars="20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——单位数量产品的计量，</w:t>
      </w:r>
      <w:r>
        <w:rPr>
          <w:rFonts w:hint="eastAsia" w:ascii="宋体" w:hAnsi="宋体" w:cs="宋体"/>
          <w:color w:val="auto"/>
          <w:kern w:val="0"/>
          <w:sz w:val="21"/>
          <w:szCs w:val="21"/>
          <w:lang w:val="en-US" w:eastAsia="zh-CN" w:bidi="ar"/>
        </w:rPr>
        <w:t>建筑墙面用涂料为1吨（t）</w:t>
      </w:r>
      <w:r>
        <w:rPr>
          <w:rFonts w:hint="eastAsia" w:ascii="宋体" w:hAnsi="宋体" w:eastAsia="宋体" w:cs="宋体"/>
          <w:color w:val="auto"/>
          <w:kern w:val="0"/>
          <w:sz w:val="21"/>
          <w:szCs w:val="21"/>
          <w:lang w:val="en-US" w:eastAsia="zh-CN" w:bidi="ar"/>
        </w:rPr>
        <w:t>；</w:t>
      </w:r>
    </w:p>
    <w:p w14:paraId="4F6BF509">
      <w:pPr>
        <w:keepNext w:val="0"/>
        <w:keepLines w:val="0"/>
        <w:widowControl/>
        <w:suppressLineNumbers w:val="0"/>
        <w:ind w:firstLine="420" w:firstLineChars="20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——预期用途；</w:t>
      </w:r>
    </w:p>
    <w:p w14:paraId="4488D652">
      <w:pPr>
        <w:keepNext w:val="0"/>
        <w:keepLines w:val="0"/>
        <w:widowControl/>
        <w:suppressLineNumbers w:val="0"/>
        <w:ind w:firstLine="420" w:firstLineChars="20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——主要性能指标或规格参数</w:t>
      </w:r>
      <w:r>
        <w:rPr>
          <w:rFonts w:hint="eastAsia" w:ascii="宋体" w:hAnsi="宋体" w:cs="宋体"/>
          <w:color w:val="auto"/>
          <w:kern w:val="0"/>
          <w:sz w:val="21"/>
          <w:szCs w:val="21"/>
          <w:lang w:val="en-US" w:eastAsia="zh-CN" w:bidi="ar"/>
        </w:rPr>
        <w:t>（如产品名称、产品执行标准、产品类别、样品等级、适用范围等信息）</w:t>
      </w:r>
    </w:p>
    <w:p w14:paraId="0D9987D1">
      <w:pPr>
        <w:pStyle w:val="27"/>
        <w:spacing w:line="276" w:lineRule="auto"/>
        <w:ind w:firstLine="422"/>
        <w:rPr>
          <w:rFonts w:ascii="Times New Roman" w:eastAsia="楷体"/>
          <w:kern w:val="2"/>
          <w:sz w:val="18"/>
          <w:szCs w:val="18"/>
          <w:highlight w:val="none"/>
        </w:rPr>
      </w:pPr>
      <w:r>
        <w:rPr>
          <w:rFonts w:hint="eastAsia" w:ascii="黑体" w:hAnsi="黑体" w:eastAsia="黑体" w:cs="黑体"/>
          <w:b w:val="0"/>
          <w:bCs w:val="0"/>
          <w:kern w:val="2"/>
          <w:sz w:val="18"/>
          <w:szCs w:val="18"/>
          <w:highlight w:val="none"/>
          <w:lang w:val="en-US" w:eastAsia="zh-CN"/>
        </w:rPr>
        <w:t>示例：</w:t>
      </w:r>
      <w:r>
        <w:rPr>
          <w:rFonts w:hint="eastAsia" w:hAnsi="宋体" w:cs="宋体"/>
          <w:color w:val="auto"/>
          <w:kern w:val="0"/>
          <w:sz w:val="21"/>
          <w:szCs w:val="21"/>
          <w:highlight w:val="none"/>
          <w:lang w:val="en-US" w:eastAsia="zh-CN" w:bidi="ar"/>
        </w:rPr>
        <w:t>1t建</w:t>
      </w:r>
      <w:r>
        <w:rPr>
          <w:rFonts w:hint="eastAsia" w:ascii="宋体" w:hAnsi="宋体" w:eastAsia="宋体" w:cs="宋体"/>
          <w:color w:val="auto"/>
          <w:kern w:val="0"/>
          <w:sz w:val="21"/>
          <w:szCs w:val="21"/>
          <w:highlight w:val="none"/>
          <w:lang w:val="en-US" w:eastAsia="zh-CN" w:bidi="ar"/>
        </w:rPr>
        <w:t>筑</w:t>
      </w:r>
      <w:r>
        <w:rPr>
          <w:rFonts w:hint="eastAsia" w:hAnsi="宋体" w:cs="宋体"/>
          <w:color w:val="auto"/>
          <w:kern w:val="0"/>
          <w:sz w:val="21"/>
          <w:szCs w:val="21"/>
          <w:highlight w:val="none"/>
          <w:lang w:val="en-US" w:eastAsia="zh-CN" w:bidi="ar"/>
        </w:rPr>
        <w:t>用内墙涂料</w:t>
      </w:r>
      <w:r>
        <w:rPr>
          <w:rFonts w:hint="eastAsia" w:ascii="宋体" w:hAnsi="宋体" w:eastAsia="宋体" w:cs="宋体"/>
          <w:color w:val="auto"/>
          <w:kern w:val="0"/>
          <w:sz w:val="21"/>
          <w:szCs w:val="21"/>
          <w:highlight w:val="none"/>
          <w:lang w:val="en-US" w:eastAsia="zh-CN" w:bidi="ar"/>
        </w:rPr>
        <w:t>，</w:t>
      </w:r>
      <w:r>
        <w:rPr>
          <w:rFonts w:hint="eastAsia" w:hAnsi="宋体" w:cs="宋体"/>
          <w:color w:val="auto"/>
          <w:kern w:val="0"/>
          <w:sz w:val="21"/>
          <w:szCs w:val="21"/>
          <w:highlight w:val="none"/>
          <w:lang w:val="en-US" w:eastAsia="zh-CN" w:bidi="ar"/>
        </w:rPr>
        <w:t>依据GB/T 9755标准规定的面涂优等品，用于</w:t>
      </w:r>
      <w:r>
        <w:rPr>
          <w:rFonts w:hint="eastAsia" w:ascii="宋体" w:hAnsi="宋体" w:eastAsia="宋体" w:cs="宋体"/>
          <w:color w:val="auto"/>
          <w:kern w:val="0"/>
          <w:sz w:val="21"/>
          <w:szCs w:val="21"/>
          <w:lang w:val="en-US" w:eastAsia="zh-CN" w:bidi="ar"/>
        </w:rPr>
        <w:t>建筑</w:t>
      </w:r>
      <w:r>
        <w:rPr>
          <w:rFonts w:hint="eastAsia" w:hAnsi="宋体" w:cs="宋体"/>
          <w:color w:val="auto"/>
          <w:kern w:val="0"/>
          <w:sz w:val="21"/>
          <w:szCs w:val="21"/>
          <w:lang w:val="en-US" w:eastAsia="zh-CN" w:bidi="ar"/>
        </w:rPr>
        <w:t>内墙</w:t>
      </w:r>
      <w:r>
        <w:rPr>
          <w:rFonts w:hint="eastAsia" w:ascii="宋体" w:hAnsi="宋体" w:eastAsia="宋体" w:cs="宋体"/>
          <w:color w:val="auto"/>
          <w:kern w:val="0"/>
          <w:sz w:val="21"/>
          <w:szCs w:val="21"/>
          <w:lang w:val="en-US" w:eastAsia="zh-CN" w:bidi="ar"/>
        </w:rPr>
        <w:t>基体</w:t>
      </w:r>
      <w:r>
        <w:rPr>
          <w:rFonts w:hint="eastAsia" w:hAnsi="宋体" w:cs="宋体"/>
          <w:color w:val="auto"/>
          <w:kern w:val="0"/>
          <w:sz w:val="21"/>
          <w:szCs w:val="21"/>
          <w:lang w:val="en-US" w:eastAsia="zh-CN" w:bidi="ar"/>
        </w:rPr>
        <w:t>的</w:t>
      </w:r>
      <w:r>
        <w:rPr>
          <w:rFonts w:hint="eastAsia" w:ascii="宋体" w:hAnsi="宋体" w:eastAsia="宋体" w:cs="宋体"/>
          <w:color w:val="auto"/>
          <w:kern w:val="0"/>
          <w:sz w:val="21"/>
          <w:szCs w:val="21"/>
          <w:lang w:val="en-US" w:eastAsia="zh-CN" w:bidi="ar"/>
        </w:rPr>
        <w:t>装饰保护</w:t>
      </w:r>
      <w:r>
        <w:rPr>
          <w:rFonts w:hint="eastAsia" w:hAnsi="宋体" w:cs="宋体"/>
          <w:color w:val="auto"/>
          <w:kern w:val="0"/>
          <w:sz w:val="21"/>
          <w:szCs w:val="21"/>
          <w:lang w:val="en-US" w:eastAsia="zh-CN" w:bidi="ar"/>
        </w:rPr>
        <w:t>工程</w:t>
      </w:r>
      <w:r>
        <w:rPr>
          <w:rFonts w:ascii="Times New Roman" w:eastAsia="楷体"/>
          <w:kern w:val="2"/>
          <w:sz w:val="18"/>
          <w:szCs w:val="18"/>
          <w:highlight w:val="none"/>
        </w:rPr>
        <w:t>。</w:t>
      </w:r>
    </w:p>
    <w:p w14:paraId="606531FB">
      <w:pPr>
        <w:pStyle w:val="47"/>
        <w:numPr>
          <w:ilvl w:val="1"/>
          <w:numId w:val="11"/>
        </w:numPr>
        <w:adjustRightInd w:val="0"/>
        <w:snapToGrid w:val="0"/>
        <w:spacing w:before="120" w:beforeLines="-2147483648" w:after="120" w:afterLines="-2147483648" w:line="360" w:lineRule="exact"/>
        <w:ind w:left="420" w:hanging="420" w:hangingChars="200"/>
        <w:jc w:val="both"/>
        <w:outlineLvl w:val="1"/>
        <w:rPr>
          <w:rFonts w:ascii="Times New Roman"/>
          <w:color w:val="000000"/>
        </w:rPr>
      </w:pPr>
      <w:r>
        <w:rPr>
          <w:rFonts w:ascii="Times New Roman"/>
          <w:color w:val="000000"/>
        </w:rPr>
        <w:t>声明单位</w:t>
      </w:r>
    </w:p>
    <w:p w14:paraId="4F4782CD">
      <w:pPr>
        <w:keepNext w:val="0"/>
        <w:keepLines w:val="0"/>
        <w:widowControl/>
        <w:suppressLineNumbers w:val="0"/>
        <w:ind w:firstLine="420" w:firstLineChars="20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当系统边界为“A-B”时，可使用声明单位。声明单位应涵盖以下信息：</w:t>
      </w:r>
    </w:p>
    <w:p w14:paraId="3C4DED63">
      <w:pPr>
        <w:keepNext w:val="0"/>
        <w:keepLines w:val="0"/>
        <w:widowControl/>
        <w:suppressLineNumbers w:val="0"/>
        <w:ind w:firstLine="420" w:firstLineChars="20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——单位数量产品的计量，</w:t>
      </w:r>
      <w:r>
        <w:rPr>
          <w:rFonts w:hint="eastAsia" w:ascii="宋体" w:hAnsi="宋体" w:cs="宋体"/>
          <w:color w:val="auto"/>
          <w:kern w:val="0"/>
          <w:sz w:val="21"/>
          <w:szCs w:val="21"/>
          <w:lang w:val="en-US" w:eastAsia="zh-CN" w:bidi="ar"/>
        </w:rPr>
        <w:t>建筑墙面用涂料为1吨（t）</w:t>
      </w:r>
      <w:r>
        <w:rPr>
          <w:rFonts w:hint="eastAsia" w:ascii="宋体" w:hAnsi="宋体" w:eastAsia="宋体" w:cs="宋体"/>
          <w:color w:val="auto"/>
          <w:kern w:val="0"/>
          <w:sz w:val="21"/>
          <w:szCs w:val="21"/>
          <w:highlight w:val="none"/>
          <w:lang w:val="en-US" w:eastAsia="zh-CN" w:bidi="ar"/>
        </w:rPr>
        <w:t>；</w:t>
      </w:r>
    </w:p>
    <w:p w14:paraId="176371C0">
      <w:pPr>
        <w:keepNext w:val="0"/>
        <w:keepLines w:val="0"/>
        <w:widowControl/>
        <w:suppressLineNumbers w:val="0"/>
        <w:ind w:firstLine="420" w:firstLineChars="20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w:t>
      </w:r>
      <w:r>
        <w:rPr>
          <w:rFonts w:hint="eastAsia" w:ascii="宋体" w:hAnsi="宋体" w:cs="宋体"/>
          <w:color w:val="auto"/>
          <w:kern w:val="0"/>
          <w:sz w:val="21"/>
          <w:szCs w:val="21"/>
          <w:highlight w:val="none"/>
          <w:lang w:val="en-US" w:eastAsia="zh-CN" w:bidi="ar"/>
        </w:rPr>
        <w:t>产品类别</w:t>
      </w:r>
      <w:r>
        <w:rPr>
          <w:rFonts w:hint="eastAsia" w:ascii="宋体" w:hAnsi="宋体" w:eastAsia="宋体" w:cs="宋体"/>
          <w:color w:val="auto"/>
          <w:kern w:val="0"/>
          <w:sz w:val="21"/>
          <w:szCs w:val="21"/>
          <w:highlight w:val="none"/>
          <w:lang w:val="en-US" w:eastAsia="zh-CN" w:bidi="ar"/>
        </w:rPr>
        <w:t>。</w:t>
      </w:r>
    </w:p>
    <w:p w14:paraId="6ABD270A">
      <w:pPr>
        <w:pStyle w:val="27"/>
        <w:spacing w:line="276" w:lineRule="auto"/>
        <w:ind w:firstLine="422"/>
        <w:rPr>
          <w:rFonts w:ascii="Times New Roman"/>
          <w:highlight w:val="none"/>
        </w:rPr>
      </w:pPr>
      <w:r>
        <w:rPr>
          <w:rFonts w:hint="eastAsia" w:ascii="黑体" w:hAnsi="黑体" w:eastAsia="黑体" w:cs="黑体"/>
          <w:b w:val="0"/>
          <w:bCs w:val="0"/>
          <w:kern w:val="2"/>
          <w:sz w:val="18"/>
          <w:szCs w:val="18"/>
          <w:highlight w:val="none"/>
          <w:lang w:val="en-US" w:eastAsia="zh-CN" w:bidi="ar-SA"/>
        </w:rPr>
        <w:t>示例：</w:t>
      </w:r>
      <w:r>
        <w:rPr>
          <w:rFonts w:hint="eastAsia" w:ascii="宋体" w:hAnsi="宋体" w:eastAsia="宋体" w:cs="宋体"/>
          <w:color w:val="auto"/>
          <w:kern w:val="0"/>
          <w:sz w:val="21"/>
          <w:szCs w:val="21"/>
          <w:highlight w:val="none"/>
          <w:lang w:val="en-US" w:eastAsia="zh-CN" w:bidi="ar"/>
        </w:rPr>
        <w:t>生产1</w:t>
      </w:r>
      <w:r>
        <w:rPr>
          <w:rFonts w:hint="eastAsia" w:ascii="宋体" w:hAnsi="宋体" w:cs="宋体"/>
          <w:color w:val="auto"/>
          <w:kern w:val="0"/>
          <w:sz w:val="21"/>
          <w:szCs w:val="21"/>
          <w:highlight w:val="none"/>
          <w:lang w:val="en-US" w:eastAsia="zh-CN" w:bidi="ar"/>
        </w:rPr>
        <w:t>t建筑</w:t>
      </w:r>
      <w:r>
        <w:rPr>
          <w:rFonts w:hint="eastAsia" w:hAnsi="宋体" w:cs="宋体"/>
          <w:color w:val="auto"/>
          <w:kern w:val="0"/>
          <w:sz w:val="21"/>
          <w:szCs w:val="21"/>
          <w:highlight w:val="none"/>
          <w:lang w:val="en-US" w:eastAsia="zh-CN" w:bidi="ar"/>
        </w:rPr>
        <w:t>用内</w:t>
      </w:r>
      <w:r>
        <w:rPr>
          <w:rFonts w:hint="eastAsia" w:ascii="宋体" w:hAnsi="宋体" w:eastAsia="宋体" w:cs="宋体"/>
          <w:color w:val="auto"/>
          <w:kern w:val="0"/>
          <w:sz w:val="21"/>
          <w:szCs w:val="21"/>
          <w:highlight w:val="none"/>
          <w:lang w:val="en-US" w:eastAsia="zh-CN" w:bidi="ar"/>
        </w:rPr>
        <w:t>墙面涂料</w:t>
      </w:r>
      <w:r>
        <w:rPr>
          <w:rFonts w:ascii="Times New Roman" w:eastAsia="楷体"/>
          <w:kern w:val="2"/>
          <w:sz w:val="18"/>
          <w:szCs w:val="18"/>
          <w:highlight w:val="none"/>
        </w:rPr>
        <w:t>。</w:t>
      </w:r>
    </w:p>
    <w:p w14:paraId="6193CCB7">
      <w:pPr>
        <w:pStyle w:val="47"/>
        <w:numPr>
          <w:ilvl w:val="1"/>
          <w:numId w:val="11"/>
        </w:numPr>
        <w:adjustRightInd w:val="0"/>
        <w:snapToGrid w:val="0"/>
        <w:spacing w:before="120" w:beforeLines="-2147483648" w:after="120" w:afterLines="-2147483648" w:line="360" w:lineRule="exact"/>
        <w:ind w:left="420" w:hanging="420" w:hangingChars="200"/>
        <w:jc w:val="both"/>
        <w:outlineLvl w:val="1"/>
        <w:rPr>
          <w:rFonts w:ascii="Times New Roman"/>
          <w:color w:val="000000"/>
        </w:rPr>
      </w:pPr>
      <w:r>
        <w:rPr>
          <w:rFonts w:ascii="Times New Roman"/>
          <w:color w:val="000000"/>
        </w:rPr>
        <w:t>取舍准则</w:t>
      </w:r>
    </w:p>
    <w:p w14:paraId="7FCA6A4F">
      <w:pPr>
        <w:pStyle w:val="27"/>
        <w:spacing w:line="276" w:lineRule="auto"/>
        <w:rPr>
          <w:rFonts w:ascii="Times New Roman"/>
        </w:rPr>
      </w:pPr>
      <w:r>
        <w:rPr>
          <w:rFonts w:ascii="Times New Roman"/>
        </w:rPr>
        <w:t>所涉及的物质（能量）数据的取舍应遵循如下准则：</w:t>
      </w:r>
    </w:p>
    <w:p w14:paraId="7685F017">
      <w:pPr>
        <w:pStyle w:val="152"/>
        <w:numPr>
          <w:ilvl w:val="0"/>
          <w:numId w:val="18"/>
        </w:numPr>
        <w:spacing w:line="276" w:lineRule="auto"/>
        <w:ind w:left="0" w:firstLine="420"/>
        <w:rPr>
          <w:rFonts w:ascii="Times New Roman" w:hAnsi="Times New Roman" w:eastAsia="宋体" w:cs="Times New Roman"/>
          <w:szCs w:val="21"/>
        </w:rPr>
      </w:pPr>
      <w:r>
        <w:rPr>
          <w:rFonts w:ascii="Times New Roman" w:hAnsi="Times New Roman" w:eastAsia="宋体" w:cs="Times New Roman"/>
          <w:szCs w:val="21"/>
        </w:rPr>
        <w:t>所有的能源输入均需列出，包括使用的含能废弃物；</w:t>
      </w:r>
    </w:p>
    <w:p w14:paraId="3709D7BA">
      <w:pPr>
        <w:pStyle w:val="152"/>
        <w:numPr>
          <w:ilvl w:val="0"/>
          <w:numId w:val="18"/>
        </w:numPr>
        <w:spacing w:line="276" w:lineRule="auto"/>
        <w:ind w:left="0" w:firstLine="420"/>
        <w:rPr>
          <w:rFonts w:ascii="Times New Roman" w:hAnsi="Times New Roman" w:eastAsia="宋体" w:cs="Times New Roman"/>
          <w:szCs w:val="21"/>
        </w:rPr>
      </w:pPr>
      <w:r>
        <w:rPr>
          <w:rFonts w:ascii="Times New Roman" w:hAnsi="Times New Roman" w:eastAsia="宋体" w:cs="Times New Roman"/>
          <w:szCs w:val="21"/>
        </w:rPr>
        <w:t>应列出主要的原料及辅料输入，若符合c）和d）要求则可忽略；</w:t>
      </w:r>
    </w:p>
    <w:p w14:paraId="68BAAA3F">
      <w:pPr>
        <w:pStyle w:val="152"/>
        <w:numPr>
          <w:ilvl w:val="0"/>
          <w:numId w:val="18"/>
        </w:numPr>
        <w:spacing w:line="276" w:lineRule="auto"/>
        <w:ind w:left="0" w:firstLine="420"/>
        <w:rPr>
          <w:rFonts w:ascii="Times New Roman" w:hAnsi="Times New Roman" w:eastAsia="宋体" w:cs="Times New Roman"/>
          <w:szCs w:val="21"/>
        </w:rPr>
      </w:pPr>
      <w:r>
        <w:rPr>
          <w:rFonts w:ascii="Times New Roman" w:hAnsi="Times New Roman" w:eastAsia="宋体" w:cs="Times New Roman"/>
          <w:szCs w:val="21"/>
        </w:rPr>
        <w:t>忽略的单项物质（能量）流或单元过程对产品碳足迹的贡献均不</w:t>
      </w:r>
      <w:r>
        <w:rPr>
          <w:rFonts w:hint="eastAsia" w:ascii="Times New Roman" w:hAnsi="Times New Roman" w:eastAsia="宋体" w:cs="Times New Roman"/>
          <w:szCs w:val="21"/>
          <w:lang w:val="en-US" w:eastAsia="zh-CN"/>
        </w:rPr>
        <w:t>应</w:t>
      </w:r>
      <w:r>
        <w:rPr>
          <w:rFonts w:ascii="Times New Roman" w:hAnsi="Times New Roman" w:eastAsia="宋体" w:cs="Times New Roman"/>
          <w:szCs w:val="21"/>
        </w:rPr>
        <w:t>超过1%</w:t>
      </w:r>
      <w:r>
        <w:rPr>
          <w:rFonts w:hint="eastAsia" w:ascii="Times New Roman" w:hAnsi="Times New Roman" w:eastAsia="宋体" w:cs="Times New Roman"/>
          <w:szCs w:val="21"/>
        </w:rPr>
        <w:t>，如生产设备维修耗材等；</w:t>
      </w:r>
    </w:p>
    <w:p w14:paraId="3F080207">
      <w:pPr>
        <w:pStyle w:val="152"/>
        <w:numPr>
          <w:ilvl w:val="0"/>
          <w:numId w:val="18"/>
        </w:numPr>
        <w:spacing w:line="276" w:lineRule="auto"/>
        <w:ind w:left="0" w:firstLine="420"/>
        <w:rPr>
          <w:rFonts w:ascii="Times New Roman" w:hAnsi="Times New Roman" w:eastAsia="宋体" w:cs="Times New Roman"/>
          <w:szCs w:val="21"/>
        </w:rPr>
      </w:pPr>
      <w:r>
        <w:rPr>
          <w:rFonts w:ascii="Times New Roman" w:hAnsi="Times New Roman" w:eastAsia="宋体" w:cs="Times New Roman"/>
          <w:szCs w:val="21"/>
        </w:rPr>
        <w:t>所有忽略的物质（能量）流与单元过程对产品碳足迹贡献总和不超过5%，且应在产品碳足迹报告中予以说明</w:t>
      </w:r>
      <w:r>
        <w:rPr>
          <w:rFonts w:hint="eastAsia" w:ascii="Times New Roman" w:hAnsi="Times New Roman" w:eastAsia="宋体" w:cs="Times New Roman"/>
          <w:szCs w:val="21"/>
          <w:lang w:eastAsia="zh-CN"/>
        </w:rPr>
        <w:t>。</w:t>
      </w:r>
    </w:p>
    <w:p w14:paraId="586A984F">
      <w:pPr>
        <w:pStyle w:val="152"/>
        <w:numPr>
          <w:ilvl w:val="0"/>
          <w:numId w:val="18"/>
        </w:numPr>
        <w:spacing w:line="276" w:lineRule="auto"/>
        <w:ind w:left="0" w:firstLine="420"/>
        <w:rPr>
          <w:rFonts w:ascii="Times New Roman" w:hAnsi="Times New Roman" w:eastAsia="宋体" w:cs="Times New Roman"/>
          <w:szCs w:val="21"/>
          <w:highlight w:val="none"/>
        </w:rPr>
      </w:pPr>
      <w:r>
        <w:rPr>
          <w:rFonts w:ascii="Times New Roman" w:hAnsi="Times New Roman" w:eastAsia="宋体" w:cs="Times New Roman"/>
          <w:szCs w:val="21"/>
        </w:rPr>
        <w:t>道路与厂房等基础设施的建设、各工序设备的制造、厂区内人员及生活设施的消耗和排放，均可忽略</w:t>
      </w:r>
      <w:r>
        <w:rPr>
          <w:rFonts w:ascii="Times New Roman" w:hAnsi="Times New Roman" w:eastAsia="宋体" w:cs="Times New Roman"/>
          <w:szCs w:val="21"/>
          <w:highlight w:val="none"/>
        </w:rPr>
        <w:t>。</w:t>
      </w:r>
    </w:p>
    <w:p w14:paraId="6BDEEE16">
      <w:pPr>
        <w:pStyle w:val="50"/>
        <w:numPr>
          <w:ilvl w:val="0"/>
          <w:numId w:val="11"/>
        </w:numPr>
        <w:adjustRightInd w:val="0"/>
        <w:snapToGrid w:val="0"/>
        <w:spacing w:before="120" w:beforeLines="50" w:after="120" w:afterLines="50" w:line="360" w:lineRule="exact"/>
        <w:ind w:left="284" w:hanging="284"/>
        <w:outlineLvl w:val="0"/>
        <w:rPr>
          <w:rFonts w:hint="eastAsia" w:ascii="黑体" w:hAnsi="黑体" w:eastAsia="黑体"/>
          <w:b w:val="0"/>
          <w:bCs w:val="0"/>
          <w:szCs w:val="21"/>
        </w:rPr>
      </w:pPr>
      <w:bookmarkStart w:id="26" w:name="_Toc28136"/>
      <w:bookmarkStart w:id="27" w:name="_Toc17354"/>
      <w:bookmarkStart w:id="28" w:name="_Toc23878"/>
      <w:bookmarkStart w:id="29" w:name="_Toc384053578"/>
      <w:r>
        <w:rPr>
          <w:rFonts w:hint="eastAsia" w:ascii="黑体" w:hAnsi="黑体" w:eastAsia="黑体"/>
          <w:b w:val="0"/>
          <w:bCs w:val="0"/>
          <w:szCs w:val="21"/>
        </w:rPr>
        <w:t>清单分析</w:t>
      </w:r>
      <w:bookmarkEnd w:id="26"/>
      <w:bookmarkEnd w:id="27"/>
      <w:bookmarkEnd w:id="28"/>
    </w:p>
    <w:p w14:paraId="191DC65D">
      <w:pPr>
        <w:pStyle w:val="47"/>
        <w:numPr>
          <w:ilvl w:val="1"/>
          <w:numId w:val="11"/>
        </w:numPr>
        <w:adjustRightInd w:val="0"/>
        <w:snapToGrid w:val="0"/>
        <w:spacing w:before="120" w:after="120" w:line="360" w:lineRule="exact"/>
        <w:ind w:left="420" w:hanging="420" w:hangingChars="200"/>
        <w:jc w:val="both"/>
        <w:outlineLvl w:val="1"/>
        <w:rPr>
          <w:rFonts w:ascii="Times New Roman"/>
          <w:color w:val="000000"/>
        </w:rPr>
      </w:pPr>
      <w:r>
        <w:rPr>
          <w:rFonts w:ascii="Times New Roman"/>
          <w:color w:val="000000"/>
        </w:rPr>
        <w:t>数据的收集和确认</w:t>
      </w:r>
    </w:p>
    <w:p w14:paraId="622CE553">
      <w:pPr>
        <w:pStyle w:val="47"/>
        <w:numPr>
          <w:ilvl w:val="2"/>
          <w:numId w:val="11"/>
        </w:numPr>
        <w:adjustRightInd w:val="0"/>
        <w:snapToGrid w:val="0"/>
        <w:spacing w:beforeLines="0" w:afterLines="0" w:line="360" w:lineRule="exact"/>
        <w:ind w:left="0" w:firstLine="0"/>
        <w:jc w:val="both"/>
        <w:outlineLvl w:val="9"/>
        <w:rPr>
          <w:rFonts w:hint="eastAsia" w:ascii="Times New Roman" w:eastAsia="宋体"/>
        </w:rPr>
      </w:pPr>
      <w:r>
        <w:rPr>
          <w:rFonts w:hint="eastAsia" w:ascii="Times New Roman" w:eastAsia="宋体"/>
        </w:rPr>
        <w:t>数据的收集应符合表1的要求。</w:t>
      </w:r>
    </w:p>
    <w:p w14:paraId="462D20F4">
      <w:pPr>
        <w:pStyle w:val="47"/>
        <w:numPr>
          <w:ilvl w:val="2"/>
          <w:numId w:val="11"/>
        </w:numPr>
        <w:adjustRightInd w:val="0"/>
        <w:snapToGrid w:val="0"/>
        <w:spacing w:beforeLines="0" w:afterLines="0" w:line="360" w:lineRule="exact"/>
        <w:ind w:left="0" w:firstLine="0"/>
        <w:jc w:val="both"/>
        <w:outlineLvl w:val="9"/>
        <w:rPr>
          <w:rFonts w:hint="eastAsia" w:ascii="Times New Roman" w:eastAsia="宋体"/>
        </w:rPr>
      </w:pPr>
      <w:r>
        <w:rPr>
          <w:rFonts w:hint="eastAsia" w:ascii="Times New Roman" w:hAnsi="Times New Roman" w:eastAsia="宋体" w:cs="Times New Roman"/>
          <w:highlight w:val="none"/>
        </w:rPr>
        <w:t>当开展产品碳足迹研究的组织拥有财务或运营控制权时，应收集现场数据。所收集的数据应具有代表性。对产品碳足迹贡献度不低于50%的单元过程，即使不在财务或运营控制下，宜使用现场数据。现场数据可按附录B收集</w:t>
      </w:r>
      <w:r>
        <w:rPr>
          <w:rFonts w:hint="eastAsia" w:ascii="Times New Roman" w:eastAsia="宋体"/>
        </w:rPr>
        <w:t>。</w:t>
      </w:r>
    </w:p>
    <w:p w14:paraId="64BE8245">
      <w:pPr>
        <w:pStyle w:val="47"/>
        <w:numPr>
          <w:ilvl w:val="2"/>
          <w:numId w:val="11"/>
        </w:numPr>
        <w:adjustRightInd w:val="0"/>
        <w:snapToGrid w:val="0"/>
        <w:spacing w:beforeLines="0" w:afterLines="0" w:line="360" w:lineRule="exact"/>
        <w:ind w:left="0" w:firstLine="0"/>
        <w:jc w:val="both"/>
        <w:outlineLvl w:val="9"/>
        <w:rPr>
          <w:rFonts w:hint="eastAsia" w:ascii="Times New Roman" w:eastAsia="宋体"/>
        </w:rPr>
      </w:pPr>
      <w:r>
        <w:rPr>
          <w:rFonts w:hint="eastAsia" w:ascii="Times New Roman" w:hAnsi="Times New Roman" w:eastAsia="宋体" w:cs="Times New Roman"/>
          <w:highlight w:val="none"/>
        </w:rPr>
        <w:t>非现场数据可使用次级数据，次级数据宜经第三方评审，同时数据格式应满足相关标准要求。次级数据可来源于国家数据库、公开文献或其他具有代表性的数据。次级数据可按附录C收集</w:t>
      </w:r>
      <w:r>
        <w:rPr>
          <w:rFonts w:hint="eastAsia" w:ascii="Times New Roman" w:eastAsia="宋体"/>
        </w:rPr>
        <w:t>。</w:t>
      </w:r>
    </w:p>
    <w:p w14:paraId="028F5A8E">
      <w:pPr>
        <w:pStyle w:val="47"/>
        <w:numPr>
          <w:ilvl w:val="2"/>
          <w:numId w:val="11"/>
        </w:numPr>
        <w:adjustRightInd w:val="0"/>
        <w:snapToGrid w:val="0"/>
        <w:spacing w:beforeLines="0" w:afterLines="0" w:line="360" w:lineRule="exact"/>
        <w:ind w:left="0" w:firstLine="0"/>
        <w:jc w:val="both"/>
        <w:outlineLvl w:val="9"/>
        <w:rPr>
          <w:rFonts w:ascii="Times New Roman" w:eastAsia="宋体"/>
          <w:highlight w:val="none"/>
        </w:rPr>
      </w:pPr>
      <w:r>
        <w:rPr>
          <w:rFonts w:hint="eastAsia" w:ascii="Times New Roman" w:eastAsia="宋体"/>
        </w:rPr>
        <w:t>对数据获得方式和来源应予以说明。</w:t>
      </w:r>
    </w:p>
    <w:p w14:paraId="0A599665">
      <w:pPr>
        <w:pStyle w:val="47"/>
        <w:numPr>
          <w:ilvl w:val="255"/>
          <w:numId w:val="0"/>
        </w:numPr>
        <w:spacing w:beforeLines="0" w:afterLines="0" w:line="276" w:lineRule="auto"/>
        <w:jc w:val="center"/>
        <w:outlineLvl w:val="9"/>
        <w:rPr>
          <w:rFonts w:ascii="Times New Roman" w:eastAsia="宋体"/>
          <w:highlight w:val="none"/>
        </w:rPr>
      </w:pPr>
      <w:r>
        <w:rPr>
          <w:rFonts w:ascii="Times New Roman" w:eastAsia="宋体"/>
          <w:highlight w:val="none"/>
        </w:rPr>
        <w:t xml:space="preserve">表1 </w:t>
      </w:r>
      <w:r>
        <w:rPr>
          <w:rFonts w:hint="eastAsia" w:ascii="Times New Roman" w:eastAsia="宋体"/>
          <w:highlight w:val="none"/>
          <w:lang w:val="en-US" w:eastAsia="zh-CN"/>
        </w:rPr>
        <w:t xml:space="preserve"> </w:t>
      </w:r>
      <w:r>
        <w:rPr>
          <w:rFonts w:ascii="Times New Roman" w:eastAsia="宋体"/>
          <w:highlight w:val="none"/>
        </w:rPr>
        <w:t>各阶段数据收集</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0"/>
        <w:gridCol w:w="6305"/>
        <w:gridCol w:w="1755"/>
      </w:tblGrid>
      <w:tr w14:paraId="559EA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10" w:type="dxa"/>
            <w:noWrap w:val="0"/>
            <w:vAlign w:val="center"/>
          </w:tcPr>
          <w:p w14:paraId="4C538D2F">
            <w:pPr>
              <w:pStyle w:val="27"/>
              <w:ind w:firstLine="0" w:firstLineChars="0"/>
              <w:jc w:val="center"/>
              <w:rPr>
                <w:rFonts w:ascii="Times New Roman"/>
                <w:b/>
                <w:bCs/>
                <w:sz w:val="20"/>
                <w:szCs w:val="16"/>
              </w:rPr>
            </w:pPr>
            <w:r>
              <w:rPr>
                <w:rFonts w:ascii="Times New Roman"/>
                <w:b/>
                <w:bCs/>
                <w:sz w:val="20"/>
                <w:szCs w:val="16"/>
              </w:rPr>
              <w:t>所属阶段</w:t>
            </w:r>
          </w:p>
        </w:tc>
        <w:tc>
          <w:tcPr>
            <w:tcW w:w="6305" w:type="dxa"/>
            <w:noWrap w:val="0"/>
            <w:vAlign w:val="center"/>
          </w:tcPr>
          <w:p w14:paraId="26F48EB5">
            <w:pPr>
              <w:pStyle w:val="27"/>
              <w:ind w:firstLine="0" w:firstLineChars="0"/>
              <w:jc w:val="center"/>
              <w:rPr>
                <w:rFonts w:ascii="Times New Roman"/>
                <w:b/>
                <w:bCs/>
                <w:sz w:val="20"/>
                <w:szCs w:val="16"/>
              </w:rPr>
            </w:pPr>
            <w:r>
              <w:rPr>
                <w:rFonts w:ascii="Times New Roman"/>
                <w:b/>
                <w:bCs/>
                <w:sz w:val="20"/>
                <w:szCs w:val="16"/>
              </w:rPr>
              <w:t>数据种类</w:t>
            </w:r>
          </w:p>
        </w:tc>
        <w:tc>
          <w:tcPr>
            <w:tcW w:w="1755" w:type="dxa"/>
            <w:noWrap w:val="0"/>
            <w:vAlign w:val="center"/>
          </w:tcPr>
          <w:p w14:paraId="2E54E7CC">
            <w:pPr>
              <w:pStyle w:val="27"/>
              <w:ind w:firstLine="0" w:firstLineChars="0"/>
              <w:jc w:val="center"/>
              <w:rPr>
                <w:rFonts w:ascii="Times New Roman"/>
                <w:b/>
                <w:bCs/>
                <w:sz w:val="20"/>
                <w:szCs w:val="16"/>
              </w:rPr>
            </w:pPr>
            <w:r>
              <w:rPr>
                <w:rFonts w:ascii="Times New Roman"/>
                <w:b/>
                <w:bCs/>
                <w:sz w:val="20"/>
                <w:szCs w:val="16"/>
              </w:rPr>
              <w:t>数据类型</w:t>
            </w:r>
          </w:p>
        </w:tc>
      </w:tr>
      <w:tr w14:paraId="5F0F0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10" w:type="dxa"/>
            <w:vMerge w:val="restart"/>
            <w:noWrap w:val="0"/>
            <w:vAlign w:val="center"/>
          </w:tcPr>
          <w:p w14:paraId="7F2F30BC">
            <w:pPr>
              <w:pStyle w:val="27"/>
              <w:ind w:firstLine="0" w:firstLineChars="0"/>
              <w:jc w:val="center"/>
              <w:rPr>
                <w:rFonts w:hint="eastAsia" w:ascii="Times New Roman" w:eastAsia="宋体"/>
                <w:sz w:val="20"/>
                <w:szCs w:val="16"/>
                <w:lang w:eastAsia="zh-CN"/>
              </w:rPr>
            </w:pPr>
            <w:r>
              <w:rPr>
                <w:rFonts w:hint="eastAsia" w:ascii="Times New Roman"/>
                <w:sz w:val="20"/>
                <w:szCs w:val="16"/>
              </w:rPr>
              <w:t>原料获取阶段</w:t>
            </w:r>
            <w:r>
              <w:rPr>
                <w:rFonts w:hint="eastAsia" w:ascii="Times New Roman"/>
                <w:sz w:val="20"/>
                <w:szCs w:val="16"/>
                <w:lang w:eastAsia="zh-CN"/>
              </w:rPr>
              <w:t>（</w:t>
            </w:r>
            <w:r>
              <w:rPr>
                <w:rFonts w:hint="eastAsia" w:ascii="Times New Roman"/>
                <w:sz w:val="20"/>
                <w:szCs w:val="16"/>
              </w:rPr>
              <w:t>A</w:t>
            </w:r>
            <w:r>
              <w:rPr>
                <w:rFonts w:hint="eastAsia" w:ascii="Times New Roman"/>
                <w:sz w:val="20"/>
                <w:szCs w:val="16"/>
                <w:lang w:eastAsia="zh-CN"/>
              </w:rPr>
              <w:t>）</w:t>
            </w:r>
          </w:p>
        </w:tc>
        <w:tc>
          <w:tcPr>
            <w:tcW w:w="6305" w:type="dxa"/>
            <w:noWrap w:val="0"/>
            <w:vAlign w:val="center"/>
          </w:tcPr>
          <w:p w14:paraId="69FA251A">
            <w:pPr>
              <w:pStyle w:val="27"/>
              <w:numPr>
                <w:ilvl w:val="0"/>
                <w:numId w:val="0"/>
              </w:numPr>
              <w:tabs>
                <w:tab w:val="center" w:pos="420"/>
              </w:tabs>
              <w:jc w:val="left"/>
              <w:rPr>
                <w:rFonts w:ascii="Times New Roman"/>
                <w:sz w:val="20"/>
                <w:szCs w:val="20"/>
              </w:rPr>
            </w:pPr>
            <w:r>
              <w:rPr>
                <w:rFonts w:ascii="Times New Roman"/>
                <w:sz w:val="20"/>
                <w:szCs w:val="20"/>
              </w:rPr>
              <w:t>主要原料（如</w:t>
            </w:r>
            <w:r>
              <w:rPr>
                <w:rFonts w:hint="eastAsia" w:ascii="Times New Roman"/>
                <w:sz w:val="20"/>
                <w:szCs w:val="20"/>
                <w:lang w:val="en-US" w:eastAsia="zh-CN"/>
              </w:rPr>
              <w:t>成膜物质、颜填料、水</w:t>
            </w:r>
            <w:r>
              <w:rPr>
                <w:rFonts w:ascii="Times New Roman"/>
                <w:sz w:val="20"/>
                <w:szCs w:val="20"/>
              </w:rPr>
              <w:t>等）</w:t>
            </w:r>
            <w:r>
              <w:rPr>
                <w:rFonts w:hint="eastAsia" w:ascii="Times New Roman"/>
                <w:sz w:val="20"/>
                <w:szCs w:val="20"/>
                <w:lang w:val="en-US" w:eastAsia="zh-CN"/>
              </w:rPr>
              <w:t>获取</w:t>
            </w:r>
            <w:r>
              <w:rPr>
                <w:rFonts w:ascii="Times New Roman"/>
                <w:sz w:val="20"/>
                <w:szCs w:val="20"/>
              </w:rPr>
              <w:t>的温室气体排放因子；</w:t>
            </w:r>
          </w:p>
        </w:tc>
        <w:tc>
          <w:tcPr>
            <w:tcW w:w="1755" w:type="dxa"/>
            <w:noWrap w:val="0"/>
            <w:vAlign w:val="center"/>
          </w:tcPr>
          <w:p w14:paraId="6F51E84C">
            <w:pPr>
              <w:pStyle w:val="27"/>
              <w:ind w:firstLine="0" w:firstLineChars="0"/>
              <w:jc w:val="left"/>
              <w:rPr>
                <w:rFonts w:ascii="Times New Roman"/>
                <w:sz w:val="20"/>
                <w:szCs w:val="16"/>
              </w:rPr>
            </w:pPr>
            <w:r>
              <w:rPr>
                <w:rFonts w:ascii="Times New Roman"/>
                <w:sz w:val="20"/>
                <w:szCs w:val="16"/>
              </w:rPr>
              <w:t>宜使用现场数据</w:t>
            </w:r>
          </w:p>
        </w:tc>
      </w:tr>
      <w:tr w14:paraId="0CCDB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10" w:type="dxa"/>
            <w:vMerge w:val="continue"/>
            <w:noWrap w:val="0"/>
            <w:vAlign w:val="center"/>
          </w:tcPr>
          <w:p w14:paraId="47B0368C">
            <w:pPr>
              <w:pStyle w:val="27"/>
              <w:ind w:firstLine="0" w:firstLineChars="0"/>
              <w:jc w:val="center"/>
              <w:rPr>
                <w:rFonts w:ascii="Times New Roman"/>
                <w:sz w:val="20"/>
                <w:szCs w:val="16"/>
              </w:rPr>
            </w:pPr>
          </w:p>
        </w:tc>
        <w:tc>
          <w:tcPr>
            <w:tcW w:w="6305" w:type="dxa"/>
            <w:noWrap w:val="0"/>
            <w:vAlign w:val="center"/>
          </w:tcPr>
          <w:p w14:paraId="08681E6D">
            <w:pPr>
              <w:pStyle w:val="27"/>
              <w:numPr>
                <w:ilvl w:val="0"/>
                <w:numId w:val="0"/>
              </w:numPr>
              <w:tabs>
                <w:tab w:val="center" w:pos="420"/>
              </w:tabs>
              <w:jc w:val="left"/>
              <w:rPr>
                <w:rFonts w:ascii="Times New Roman"/>
                <w:sz w:val="20"/>
                <w:szCs w:val="20"/>
              </w:rPr>
            </w:pPr>
            <w:r>
              <w:rPr>
                <w:rFonts w:ascii="Times New Roman"/>
                <w:sz w:val="20"/>
                <w:szCs w:val="20"/>
              </w:rPr>
              <w:t>次要原料（如</w:t>
            </w:r>
            <w:r>
              <w:rPr>
                <w:rFonts w:hint="eastAsia" w:ascii="Times New Roman"/>
                <w:sz w:val="20"/>
                <w:szCs w:val="20"/>
                <w:lang w:val="en-US" w:eastAsia="zh-CN"/>
              </w:rPr>
              <w:t>助剂、其他辅助材料</w:t>
            </w:r>
            <w:r>
              <w:rPr>
                <w:rFonts w:ascii="Times New Roman"/>
                <w:sz w:val="20"/>
                <w:szCs w:val="20"/>
              </w:rPr>
              <w:t>等）</w:t>
            </w:r>
            <w:r>
              <w:rPr>
                <w:rFonts w:hint="eastAsia" w:ascii="Times New Roman"/>
                <w:sz w:val="20"/>
                <w:szCs w:val="20"/>
                <w:lang w:val="en-US" w:eastAsia="zh-CN"/>
              </w:rPr>
              <w:t>获取</w:t>
            </w:r>
            <w:r>
              <w:rPr>
                <w:rFonts w:ascii="Times New Roman"/>
                <w:sz w:val="20"/>
                <w:szCs w:val="20"/>
              </w:rPr>
              <w:t>的温室气体排放因子；</w:t>
            </w:r>
          </w:p>
        </w:tc>
        <w:tc>
          <w:tcPr>
            <w:tcW w:w="1755" w:type="dxa"/>
            <w:noWrap w:val="0"/>
            <w:vAlign w:val="center"/>
          </w:tcPr>
          <w:p w14:paraId="4E186234">
            <w:pPr>
              <w:pStyle w:val="27"/>
              <w:ind w:firstLine="0" w:firstLineChars="0"/>
              <w:jc w:val="left"/>
              <w:rPr>
                <w:rFonts w:ascii="Times New Roman"/>
                <w:sz w:val="20"/>
                <w:szCs w:val="16"/>
              </w:rPr>
            </w:pPr>
            <w:r>
              <w:rPr>
                <w:rFonts w:ascii="Times New Roman"/>
                <w:sz w:val="20"/>
                <w:szCs w:val="16"/>
              </w:rPr>
              <w:t>可使用次级数据</w:t>
            </w:r>
          </w:p>
        </w:tc>
      </w:tr>
      <w:tr w14:paraId="43D17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10" w:type="dxa"/>
            <w:vMerge w:val="continue"/>
            <w:noWrap w:val="0"/>
            <w:vAlign w:val="center"/>
          </w:tcPr>
          <w:p w14:paraId="1FF300D2">
            <w:pPr>
              <w:pStyle w:val="27"/>
              <w:ind w:firstLine="0" w:firstLineChars="0"/>
              <w:jc w:val="center"/>
              <w:rPr>
                <w:rFonts w:ascii="Times New Roman"/>
                <w:sz w:val="20"/>
                <w:szCs w:val="16"/>
              </w:rPr>
            </w:pPr>
          </w:p>
        </w:tc>
        <w:tc>
          <w:tcPr>
            <w:tcW w:w="6305" w:type="dxa"/>
            <w:noWrap w:val="0"/>
            <w:vAlign w:val="center"/>
          </w:tcPr>
          <w:p w14:paraId="4FB78880">
            <w:pPr>
              <w:pStyle w:val="27"/>
              <w:numPr>
                <w:ilvl w:val="0"/>
                <w:numId w:val="0"/>
              </w:numPr>
              <w:tabs>
                <w:tab w:val="center" w:pos="420"/>
              </w:tabs>
              <w:jc w:val="left"/>
              <w:rPr>
                <w:rFonts w:ascii="Times New Roman"/>
                <w:sz w:val="20"/>
                <w:szCs w:val="16"/>
              </w:rPr>
            </w:pPr>
            <w:r>
              <w:rPr>
                <w:rFonts w:hint="eastAsia" w:ascii="Times New Roman"/>
                <w:sz w:val="20"/>
                <w:szCs w:val="20"/>
              </w:rPr>
              <w:t>主要原料与次要</w:t>
            </w:r>
            <w:r>
              <w:rPr>
                <w:rFonts w:ascii="Times New Roman"/>
                <w:sz w:val="20"/>
                <w:szCs w:val="20"/>
              </w:rPr>
              <w:t>原料的运输量、运输距离、运输方式；</w:t>
            </w:r>
          </w:p>
        </w:tc>
        <w:tc>
          <w:tcPr>
            <w:tcW w:w="1755" w:type="dxa"/>
            <w:noWrap w:val="0"/>
            <w:vAlign w:val="center"/>
          </w:tcPr>
          <w:p w14:paraId="48286EDC">
            <w:pPr>
              <w:pStyle w:val="27"/>
              <w:ind w:firstLine="0" w:firstLineChars="0"/>
              <w:jc w:val="left"/>
              <w:rPr>
                <w:rFonts w:ascii="Times New Roman"/>
                <w:sz w:val="20"/>
                <w:szCs w:val="20"/>
              </w:rPr>
            </w:pPr>
            <w:r>
              <w:rPr>
                <w:rFonts w:ascii="Times New Roman"/>
                <w:sz w:val="20"/>
                <w:szCs w:val="20"/>
              </w:rPr>
              <w:t>应使用</w:t>
            </w:r>
            <w:r>
              <w:rPr>
                <w:rFonts w:ascii="Times New Roman"/>
                <w:sz w:val="20"/>
                <w:szCs w:val="16"/>
              </w:rPr>
              <w:t>现场</w:t>
            </w:r>
            <w:r>
              <w:rPr>
                <w:rFonts w:ascii="Times New Roman"/>
                <w:sz w:val="20"/>
                <w:szCs w:val="20"/>
              </w:rPr>
              <w:t>数据</w:t>
            </w:r>
          </w:p>
        </w:tc>
      </w:tr>
      <w:tr w14:paraId="31B2F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10" w:type="dxa"/>
            <w:vMerge w:val="continue"/>
            <w:noWrap w:val="0"/>
            <w:vAlign w:val="center"/>
          </w:tcPr>
          <w:p w14:paraId="301D6257">
            <w:pPr>
              <w:pStyle w:val="27"/>
              <w:ind w:firstLine="0" w:firstLineChars="0"/>
              <w:jc w:val="center"/>
              <w:rPr>
                <w:rFonts w:ascii="Times New Roman"/>
                <w:sz w:val="20"/>
                <w:szCs w:val="16"/>
              </w:rPr>
            </w:pPr>
          </w:p>
        </w:tc>
        <w:tc>
          <w:tcPr>
            <w:tcW w:w="6305" w:type="dxa"/>
            <w:noWrap w:val="0"/>
            <w:vAlign w:val="center"/>
          </w:tcPr>
          <w:p w14:paraId="3A6D919A">
            <w:pPr>
              <w:pStyle w:val="27"/>
              <w:numPr>
                <w:ilvl w:val="0"/>
                <w:numId w:val="0"/>
              </w:numPr>
              <w:tabs>
                <w:tab w:val="center" w:pos="420"/>
              </w:tabs>
              <w:jc w:val="left"/>
              <w:rPr>
                <w:rFonts w:ascii="Times New Roman"/>
                <w:sz w:val="20"/>
                <w:szCs w:val="20"/>
              </w:rPr>
            </w:pPr>
            <w:r>
              <w:rPr>
                <w:rFonts w:ascii="Times New Roman"/>
                <w:sz w:val="20"/>
                <w:szCs w:val="20"/>
              </w:rPr>
              <w:t>不同运输方式的温室气体排放因子</w:t>
            </w:r>
            <w:r>
              <w:rPr>
                <w:rFonts w:hint="eastAsia" w:ascii="Times New Roman"/>
                <w:sz w:val="20"/>
                <w:szCs w:val="20"/>
              </w:rPr>
              <w:t>；</w:t>
            </w:r>
          </w:p>
        </w:tc>
        <w:tc>
          <w:tcPr>
            <w:tcW w:w="1755" w:type="dxa"/>
            <w:noWrap w:val="0"/>
            <w:vAlign w:val="center"/>
          </w:tcPr>
          <w:p w14:paraId="5B83858D">
            <w:pPr>
              <w:pStyle w:val="27"/>
              <w:ind w:firstLine="0" w:firstLineChars="0"/>
              <w:jc w:val="left"/>
              <w:rPr>
                <w:rFonts w:ascii="Times New Roman"/>
                <w:sz w:val="20"/>
                <w:szCs w:val="20"/>
              </w:rPr>
            </w:pPr>
            <w:r>
              <w:rPr>
                <w:rFonts w:ascii="Times New Roman"/>
                <w:sz w:val="20"/>
                <w:szCs w:val="20"/>
              </w:rPr>
              <w:t>可使用次级数据</w:t>
            </w:r>
          </w:p>
        </w:tc>
      </w:tr>
      <w:tr w14:paraId="0F12A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10" w:type="dxa"/>
            <w:vMerge w:val="restart"/>
            <w:noWrap w:val="0"/>
            <w:vAlign w:val="center"/>
          </w:tcPr>
          <w:p w14:paraId="7CFE2ED1">
            <w:pPr>
              <w:pStyle w:val="27"/>
              <w:ind w:firstLine="0" w:firstLineChars="0"/>
              <w:jc w:val="center"/>
              <w:rPr>
                <w:rFonts w:hint="eastAsia" w:ascii="Times New Roman" w:eastAsia="宋体"/>
                <w:sz w:val="20"/>
                <w:szCs w:val="16"/>
                <w:lang w:eastAsia="zh-CN"/>
              </w:rPr>
            </w:pPr>
            <w:r>
              <w:rPr>
                <w:rFonts w:ascii="Times New Roman"/>
                <w:sz w:val="20"/>
                <w:szCs w:val="16"/>
              </w:rPr>
              <w:t>产品生产阶段</w:t>
            </w:r>
            <w:r>
              <w:rPr>
                <w:rFonts w:hint="eastAsia" w:ascii="Times New Roman"/>
                <w:sz w:val="20"/>
                <w:szCs w:val="16"/>
                <w:lang w:eastAsia="zh-CN"/>
              </w:rPr>
              <w:t>（</w:t>
            </w:r>
            <w:r>
              <w:rPr>
                <w:rFonts w:hint="eastAsia" w:ascii="Times New Roman"/>
                <w:sz w:val="20"/>
                <w:szCs w:val="16"/>
              </w:rPr>
              <w:t>B</w:t>
            </w:r>
            <w:r>
              <w:rPr>
                <w:rFonts w:hint="eastAsia" w:ascii="Times New Roman"/>
                <w:sz w:val="20"/>
                <w:szCs w:val="16"/>
                <w:lang w:eastAsia="zh-CN"/>
              </w:rPr>
              <w:t>）</w:t>
            </w:r>
          </w:p>
        </w:tc>
        <w:tc>
          <w:tcPr>
            <w:tcW w:w="6305" w:type="dxa"/>
            <w:noWrap w:val="0"/>
            <w:vAlign w:val="center"/>
          </w:tcPr>
          <w:p w14:paraId="6FA3611E">
            <w:pPr>
              <w:pStyle w:val="27"/>
              <w:numPr>
                <w:ilvl w:val="0"/>
                <w:numId w:val="0"/>
              </w:numPr>
              <w:tabs>
                <w:tab w:val="center" w:pos="420"/>
              </w:tabs>
              <w:jc w:val="left"/>
              <w:rPr>
                <w:rFonts w:ascii="Times New Roman"/>
                <w:sz w:val="20"/>
                <w:szCs w:val="16"/>
              </w:rPr>
            </w:pPr>
            <w:r>
              <w:rPr>
                <w:rFonts w:ascii="Times New Roman"/>
                <w:sz w:val="20"/>
                <w:szCs w:val="20"/>
              </w:rPr>
              <w:t>主要原料和次要原料的消耗量；</w:t>
            </w:r>
          </w:p>
        </w:tc>
        <w:tc>
          <w:tcPr>
            <w:tcW w:w="1755" w:type="dxa"/>
            <w:noWrap w:val="0"/>
            <w:vAlign w:val="center"/>
          </w:tcPr>
          <w:p w14:paraId="014B1F83">
            <w:pPr>
              <w:pStyle w:val="27"/>
              <w:ind w:firstLine="0" w:firstLineChars="0"/>
              <w:jc w:val="left"/>
              <w:rPr>
                <w:rFonts w:ascii="Times New Roman"/>
                <w:sz w:val="20"/>
                <w:szCs w:val="16"/>
              </w:rPr>
            </w:pPr>
            <w:r>
              <w:rPr>
                <w:rFonts w:ascii="Times New Roman"/>
                <w:sz w:val="20"/>
                <w:szCs w:val="20"/>
              </w:rPr>
              <w:t>应使用</w:t>
            </w:r>
            <w:r>
              <w:rPr>
                <w:rFonts w:ascii="Times New Roman"/>
                <w:sz w:val="20"/>
                <w:szCs w:val="16"/>
              </w:rPr>
              <w:t>现场</w:t>
            </w:r>
            <w:r>
              <w:rPr>
                <w:rFonts w:ascii="Times New Roman"/>
                <w:sz w:val="20"/>
                <w:szCs w:val="20"/>
              </w:rPr>
              <w:t>数据</w:t>
            </w:r>
          </w:p>
        </w:tc>
      </w:tr>
      <w:tr w14:paraId="0FED8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10" w:type="dxa"/>
            <w:vMerge w:val="continue"/>
            <w:noWrap w:val="0"/>
            <w:vAlign w:val="center"/>
          </w:tcPr>
          <w:p w14:paraId="32B3AE5A">
            <w:pPr>
              <w:pStyle w:val="27"/>
              <w:ind w:firstLine="0" w:firstLineChars="0"/>
              <w:jc w:val="center"/>
              <w:rPr>
                <w:rFonts w:ascii="Times New Roman"/>
                <w:sz w:val="20"/>
                <w:szCs w:val="16"/>
              </w:rPr>
            </w:pPr>
          </w:p>
        </w:tc>
        <w:tc>
          <w:tcPr>
            <w:tcW w:w="6305" w:type="dxa"/>
            <w:noWrap w:val="0"/>
            <w:vAlign w:val="center"/>
          </w:tcPr>
          <w:p w14:paraId="7996CD2A">
            <w:pPr>
              <w:pStyle w:val="27"/>
              <w:numPr>
                <w:ilvl w:val="0"/>
                <w:numId w:val="0"/>
              </w:numPr>
              <w:tabs>
                <w:tab w:val="center" w:pos="420"/>
              </w:tabs>
              <w:jc w:val="left"/>
              <w:rPr>
                <w:rFonts w:ascii="Times New Roman"/>
                <w:sz w:val="20"/>
                <w:szCs w:val="20"/>
              </w:rPr>
            </w:pPr>
            <w:r>
              <w:rPr>
                <w:rFonts w:ascii="Times New Roman"/>
                <w:sz w:val="20"/>
                <w:szCs w:val="20"/>
              </w:rPr>
              <w:t>柴油、电力、蒸汽、天然气等能源（含厂内运输）</w:t>
            </w:r>
            <w:r>
              <w:rPr>
                <w:rFonts w:hint="eastAsia" w:ascii="Times New Roman"/>
                <w:sz w:val="20"/>
                <w:szCs w:val="20"/>
                <w:lang w:val="en-US" w:eastAsia="zh-CN"/>
              </w:rPr>
              <w:t>和物料的</w:t>
            </w:r>
            <w:r>
              <w:rPr>
                <w:rFonts w:ascii="Times New Roman"/>
                <w:sz w:val="20"/>
                <w:szCs w:val="20"/>
              </w:rPr>
              <w:t>消耗量；</w:t>
            </w:r>
          </w:p>
        </w:tc>
        <w:tc>
          <w:tcPr>
            <w:tcW w:w="1755" w:type="dxa"/>
            <w:noWrap w:val="0"/>
            <w:vAlign w:val="center"/>
          </w:tcPr>
          <w:p w14:paraId="4A2C502F">
            <w:pPr>
              <w:pStyle w:val="27"/>
              <w:ind w:firstLine="0" w:firstLineChars="0"/>
              <w:jc w:val="left"/>
              <w:rPr>
                <w:rFonts w:ascii="Times New Roman"/>
                <w:sz w:val="20"/>
                <w:szCs w:val="16"/>
              </w:rPr>
            </w:pPr>
            <w:r>
              <w:rPr>
                <w:rFonts w:ascii="Times New Roman"/>
                <w:sz w:val="20"/>
                <w:szCs w:val="20"/>
              </w:rPr>
              <w:t>应使用</w:t>
            </w:r>
            <w:r>
              <w:rPr>
                <w:rFonts w:ascii="Times New Roman"/>
                <w:sz w:val="20"/>
                <w:szCs w:val="16"/>
              </w:rPr>
              <w:t>现场</w:t>
            </w:r>
            <w:r>
              <w:rPr>
                <w:rFonts w:ascii="Times New Roman"/>
                <w:sz w:val="20"/>
                <w:szCs w:val="20"/>
              </w:rPr>
              <w:t>数据</w:t>
            </w:r>
          </w:p>
        </w:tc>
      </w:tr>
      <w:tr w14:paraId="404C9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10" w:type="dxa"/>
            <w:vMerge w:val="continue"/>
            <w:noWrap w:val="0"/>
            <w:vAlign w:val="center"/>
          </w:tcPr>
          <w:p w14:paraId="613D8FEC">
            <w:pPr>
              <w:pStyle w:val="27"/>
              <w:ind w:firstLine="0" w:firstLineChars="0"/>
              <w:jc w:val="center"/>
              <w:rPr>
                <w:rFonts w:ascii="Times New Roman"/>
                <w:sz w:val="20"/>
                <w:szCs w:val="16"/>
              </w:rPr>
            </w:pPr>
          </w:p>
        </w:tc>
        <w:tc>
          <w:tcPr>
            <w:tcW w:w="6305" w:type="dxa"/>
            <w:noWrap w:val="0"/>
            <w:vAlign w:val="center"/>
          </w:tcPr>
          <w:p w14:paraId="74C9393E">
            <w:pPr>
              <w:pStyle w:val="27"/>
              <w:numPr>
                <w:ilvl w:val="0"/>
                <w:numId w:val="0"/>
              </w:numPr>
              <w:tabs>
                <w:tab w:val="center" w:pos="420"/>
              </w:tabs>
              <w:jc w:val="left"/>
              <w:rPr>
                <w:rFonts w:ascii="Times New Roman"/>
                <w:sz w:val="20"/>
                <w:szCs w:val="20"/>
              </w:rPr>
            </w:pPr>
            <w:r>
              <w:rPr>
                <w:rFonts w:ascii="Times New Roman"/>
                <w:sz w:val="20"/>
                <w:szCs w:val="20"/>
              </w:rPr>
              <w:t>柴油、电力、蒸汽、天然气</w:t>
            </w:r>
            <w:r>
              <w:rPr>
                <w:rFonts w:hint="eastAsia" w:ascii="Times New Roman"/>
                <w:sz w:val="20"/>
                <w:szCs w:val="20"/>
              </w:rPr>
              <w:t>等能源</w:t>
            </w:r>
            <w:r>
              <w:rPr>
                <w:rFonts w:hint="eastAsia" w:ascii="Times New Roman"/>
                <w:sz w:val="20"/>
                <w:szCs w:val="20"/>
                <w:lang w:val="en-US" w:eastAsia="zh-CN"/>
              </w:rPr>
              <w:t>和物料</w:t>
            </w:r>
            <w:r>
              <w:rPr>
                <w:rFonts w:ascii="Times New Roman"/>
                <w:sz w:val="20"/>
                <w:szCs w:val="20"/>
              </w:rPr>
              <w:t>获取的温室气体排放因子；</w:t>
            </w:r>
          </w:p>
        </w:tc>
        <w:tc>
          <w:tcPr>
            <w:tcW w:w="1755" w:type="dxa"/>
            <w:noWrap w:val="0"/>
            <w:vAlign w:val="center"/>
          </w:tcPr>
          <w:p w14:paraId="53FF66E6">
            <w:pPr>
              <w:pStyle w:val="27"/>
              <w:ind w:firstLine="0" w:firstLineChars="0"/>
              <w:jc w:val="left"/>
              <w:rPr>
                <w:rFonts w:ascii="Times New Roman"/>
                <w:sz w:val="20"/>
                <w:szCs w:val="20"/>
              </w:rPr>
            </w:pPr>
            <w:r>
              <w:rPr>
                <w:rFonts w:ascii="Times New Roman"/>
                <w:sz w:val="20"/>
                <w:szCs w:val="16"/>
              </w:rPr>
              <w:t>可使用次级数据</w:t>
            </w:r>
          </w:p>
        </w:tc>
      </w:tr>
      <w:tr w14:paraId="53EFA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10" w:type="dxa"/>
            <w:vMerge w:val="continue"/>
            <w:noWrap w:val="0"/>
            <w:vAlign w:val="center"/>
          </w:tcPr>
          <w:p w14:paraId="05850D4F">
            <w:pPr>
              <w:pStyle w:val="27"/>
              <w:ind w:firstLine="0" w:firstLineChars="0"/>
              <w:jc w:val="center"/>
              <w:rPr>
                <w:rFonts w:ascii="Times New Roman"/>
                <w:sz w:val="20"/>
                <w:szCs w:val="16"/>
              </w:rPr>
            </w:pPr>
          </w:p>
        </w:tc>
        <w:tc>
          <w:tcPr>
            <w:tcW w:w="6305" w:type="dxa"/>
            <w:noWrap w:val="0"/>
            <w:vAlign w:val="center"/>
          </w:tcPr>
          <w:p w14:paraId="26D24C06">
            <w:pPr>
              <w:pStyle w:val="27"/>
              <w:numPr>
                <w:ilvl w:val="0"/>
                <w:numId w:val="0"/>
              </w:numPr>
              <w:tabs>
                <w:tab w:val="center" w:pos="420"/>
              </w:tabs>
              <w:jc w:val="left"/>
              <w:rPr>
                <w:rFonts w:hint="default" w:ascii="Times New Roman" w:eastAsia="宋体"/>
                <w:sz w:val="20"/>
                <w:szCs w:val="20"/>
                <w:lang w:val="en-US" w:eastAsia="zh-CN"/>
              </w:rPr>
            </w:pPr>
            <w:r>
              <w:rPr>
                <w:rFonts w:hint="eastAsia" w:ascii="Times New Roman"/>
                <w:sz w:val="20"/>
                <w:szCs w:val="20"/>
                <w:highlight w:val="none"/>
                <w:lang w:val="en-US" w:eastAsia="zh-CN"/>
              </w:rPr>
              <w:t>能源和物料</w:t>
            </w:r>
            <w:r>
              <w:rPr>
                <w:rFonts w:hint="eastAsia" w:ascii="Times New Roman"/>
                <w:sz w:val="20"/>
                <w:szCs w:val="20"/>
                <w:lang w:val="en-US" w:eastAsia="zh-CN"/>
              </w:rPr>
              <w:t>的</w:t>
            </w:r>
            <w:r>
              <w:rPr>
                <w:rFonts w:ascii="Times New Roman"/>
                <w:sz w:val="20"/>
                <w:szCs w:val="20"/>
              </w:rPr>
              <w:t>运输量、运输距离、运输方式；</w:t>
            </w:r>
          </w:p>
        </w:tc>
        <w:tc>
          <w:tcPr>
            <w:tcW w:w="1755" w:type="dxa"/>
            <w:noWrap w:val="0"/>
            <w:vAlign w:val="center"/>
          </w:tcPr>
          <w:p w14:paraId="2B406576">
            <w:pPr>
              <w:pStyle w:val="27"/>
              <w:ind w:firstLine="0" w:firstLineChars="0"/>
              <w:jc w:val="left"/>
              <w:rPr>
                <w:rFonts w:ascii="Times New Roman"/>
                <w:sz w:val="20"/>
                <w:szCs w:val="16"/>
              </w:rPr>
            </w:pPr>
            <w:r>
              <w:rPr>
                <w:rFonts w:ascii="Times New Roman"/>
                <w:sz w:val="20"/>
                <w:szCs w:val="20"/>
              </w:rPr>
              <w:t>应使用</w:t>
            </w:r>
            <w:r>
              <w:rPr>
                <w:rFonts w:ascii="Times New Roman"/>
                <w:sz w:val="20"/>
                <w:szCs w:val="16"/>
              </w:rPr>
              <w:t>现场</w:t>
            </w:r>
            <w:r>
              <w:rPr>
                <w:rFonts w:ascii="Times New Roman"/>
                <w:sz w:val="20"/>
                <w:szCs w:val="20"/>
              </w:rPr>
              <w:t>数据</w:t>
            </w:r>
          </w:p>
        </w:tc>
      </w:tr>
      <w:tr w14:paraId="0452E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10" w:type="dxa"/>
            <w:vMerge w:val="continue"/>
            <w:noWrap w:val="0"/>
            <w:vAlign w:val="center"/>
          </w:tcPr>
          <w:p w14:paraId="499C8B90">
            <w:pPr>
              <w:pStyle w:val="27"/>
              <w:ind w:firstLine="0" w:firstLineChars="0"/>
              <w:jc w:val="center"/>
              <w:rPr>
                <w:rFonts w:ascii="Times New Roman"/>
                <w:sz w:val="20"/>
                <w:szCs w:val="16"/>
              </w:rPr>
            </w:pPr>
          </w:p>
        </w:tc>
        <w:tc>
          <w:tcPr>
            <w:tcW w:w="6305" w:type="dxa"/>
            <w:noWrap w:val="0"/>
            <w:vAlign w:val="center"/>
          </w:tcPr>
          <w:p w14:paraId="2A8CB560">
            <w:pPr>
              <w:pStyle w:val="27"/>
              <w:numPr>
                <w:ilvl w:val="0"/>
                <w:numId w:val="0"/>
              </w:numPr>
              <w:tabs>
                <w:tab w:val="center" w:pos="420"/>
              </w:tabs>
              <w:ind w:left="0" w:leftChars="0" w:firstLine="0" w:firstLineChars="0"/>
              <w:jc w:val="left"/>
              <w:rPr>
                <w:rFonts w:hint="eastAsia" w:ascii="Times New Roman" w:eastAsia="宋体"/>
                <w:sz w:val="20"/>
                <w:szCs w:val="20"/>
                <w:highlight w:val="none"/>
                <w:lang w:val="en-US" w:eastAsia="zh-CN" w:bidi="ar-SA"/>
              </w:rPr>
            </w:pPr>
            <w:r>
              <w:rPr>
                <w:rFonts w:ascii="Times New Roman"/>
                <w:sz w:val="20"/>
                <w:szCs w:val="20"/>
                <w:highlight w:val="none"/>
              </w:rPr>
              <w:t>不同运输方式的温室气体排放因子</w:t>
            </w:r>
            <w:r>
              <w:rPr>
                <w:rFonts w:hint="eastAsia" w:ascii="Times New Roman"/>
                <w:sz w:val="20"/>
                <w:szCs w:val="20"/>
                <w:highlight w:val="none"/>
                <w:lang w:eastAsia="zh-CN"/>
              </w:rPr>
              <w:t>；</w:t>
            </w:r>
          </w:p>
        </w:tc>
        <w:tc>
          <w:tcPr>
            <w:tcW w:w="1755" w:type="dxa"/>
            <w:noWrap w:val="0"/>
            <w:vAlign w:val="center"/>
          </w:tcPr>
          <w:p w14:paraId="300BE455">
            <w:pPr>
              <w:pStyle w:val="27"/>
              <w:ind w:firstLine="0" w:firstLineChars="0"/>
              <w:jc w:val="left"/>
              <w:rPr>
                <w:rFonts w:ascii="Times New Roman"/>
                <w:sz w:val="20"/>
                <w:szCs w:val="20"/>
                <w:highlight w:val="none"/>
                <w:lang w:val="en-US" w:eastAsia="zh-CN" w:bidi="ar-SA"/>
              </w:rPr>
            </w:pPr>
            <w:r>
              <w:rPr>
                <w:rFonts w:ascii="Times New Roman"/>
                <w:sz w:val="20"/>
                <w:szCs w:val="20"/>
                <w:highlight w:val="none"/>
              </w:rPr>
              <w:t>可使用次级数据</w:t>
            </w:r>
          </w:p>
        </w:tc>
      </w:tr>
      <w:tr w14:paraId="08AF3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10" w:type="dxa"/>
            <w:vMerge w:val="continue"/>
            <w:noWrap w:val="0"/>
            <w:vAlign w:val="center"/>
          </w:tcPr>
          <w:p w14:paraId="23401F19">
            <w:pPr>
              <w:pStyle w:val="27"/>
              <w:ind w:firstLine="0" w:firstLineChars="0"/>
              <w:jc w:val="center"/>
              <w:rPr>
                <w:rFonts w:ascii="Times New Roman"/>
                <w:sz w:val="20"/>
                <w:szCs w:val="16"/>
              </w:rPr>
            </w:pPr>
          </w:p>
        </w:tc>
        <w:tc>
          <w:tcPr>
            <w:tcW w:w="6305" w:type="dxa"/>
            <w:noWrap w:val="0"/>
            <w:vAlign w:val="center"/>
          </w:tcPr>
          <w:p w14:paraId="7053E2E2">
            <w:pPr>
              <w:pStyle w:val="27"/>
              <w:numPr>
                <w:ilvl w:val="0"/>
                <w:numId w:val="0"/>
              </w:numPr>
              <w:tabs>
                <w:tab w:val="center" w:pos="420"/>
              </w:tabs>
              <w:ind w:left="0" w:leftChars="0" w:firstLine="0" w:firstLineChars="0"/>
              <w:jc w:val="left"/>
              <w:rPr>
                <w:rFonts w:hint="eastAsia" w:ascii="Times New Roman"/>
                <w:sz w:val="20"/>
                <w:szCs w:val="20"/>
                <w:lang w:val="en-US" w:eastAsia="zh-CN"/>
              </w:rPr>
            </w:pPr>
            <w:r>
              <w:rPr>
                <w:rFonts w:ascii="Times New Roman"/>
                <w:sz w:val="20"/>
                <w:szCs w:val="20"/>
              </w:rPr>
              <w:t>柴油、天然气等能源燃烧过程的温室气体排放因子；</w:t>
            </w:r>
          </w:p>
        </w:tc>
        <w:tc>
          <w:tcPr>
            <w:tcW w:w="1755" w:type="dxa"/>
            <w:noWrap w:val="0"/>
            <w:vAlign w:val="center"/>
          </w:tcPr>
          <w:p w14:paraId="19BF91B7">
            <w:pPr>
              <w:pStyle w:val="27"/>
              <w:ind w:firstLine="0" w:firstLineChars="0"/>
              <w:jc w:val="left"/>
              <w:rPr>
                <w:rFonts w:ascii="Times New Roman"/>
                <w:sz w:val="20"/>
                <w:szCs w:val="20"/>
              </w:rPr>
            </w:pPr>
            <w:r>
              <w:rPr>
                <w:rFonts w:ascii="Times New Roman"/>
                <w:sz w:val="20"/>
                <w:szCs w:val="16"/>
              </w:rPr>
              <w:t>可使用次级数据</w:t>
            </w:r>
          </w:p>
        </w:tc>
      </w:tr>
      <w:tr w14:paraId="60112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10" w:type="dxa"/>
            <w:vMerge w:val="continue"/>
            <w:noWrap w:val="0"/>
            <w:vAlign w:val="center"/>
          </w:tcPr>
          <w:p w14:paraId="6DAD39A9">
            <w:pPr>
              <w:pStyle w:val="27"/>
              <w:ind w:firstLine="0" w:firstLineChars="0"/>
              <w:jc w:val="center"/>
              <w:rPr>
                <w:rFonts w:ascii="Times New Roman"/>
                <w:sz w:val="20"/>
                <w:szCs w:val="16"/>
              </w:rPr>
            </w:pPr>
          </w:p>
        </w:tc>
        <w:tc>
          <w:tcPr>
            <w:tcW w:w="6305" w:type="dxa"/>
            <w:noWrap w:val="0"/>
            <w:vAlign w:val="center"/>
          </w:tcPr>
          <w:p w14:paraId="75B060EC">
            <w:pPr>
              <w:pStyle w:val="27"/>
              <w:numPr>
                <w:ilvl w:val="0"/>
                <w:numId w:val="0"/>
              </w:numPr>
              <w:tabs>
                <w:tab w:val="center" w:pos="420"/>
              </w:tabs>
              <w:jc w:val="left"/>
              <w:rPr>
                <w:rFonts w:hint="eastAsia" w:ascii="Times New Roman"/>
                <w:sz w:val="20"/>
                <w:szCs w:val="20"/>
                <w:lang w:val="en-US" w:eastAsia="zh-CN"/>
              </w:rPr>
            </w:pPr>
            <w:r>
              <w:rPr>
                <w:rFonts w:hint="eastAsia" w:ascii="Times New Roman"/>
                <w:sz w:val="20"/>
                <w:szCs w:val="20"/>
                <w:lang w:val="en-US" w:eastAsia="zh-CN"/>
              </w:rPr>
              <w:t>污染物、固体废物的产生量、处置方式；</w:t>
            </w:r>
          </w:p>
        </w:tc>
        <w:tc>
          <w:tcPr>
            <w:tcW w:w="1755" w:type="dxa"/>
            <w:noWrap w:val="0"/>
            <w:vAlign w:val="center"/>
          </w:tcPr>
          <w:p w14:paraId="10552F21">
            <w:pPr>
              <w:pStyle w:val="27"/>
              <w:ind w:firstLine="0" w:firstLineChars="0"/>
              <w:jc w:val="left"/>
              <w:rPr>
                <w:rFonts w:ascii="Times New Roman"/>
                <w:sz w:val="20"/>
                <w:szCs w:val="20"/>
              </w:rPr>
            </w:pPr>
            <w:r>
              <w:rPr>
                <w:rFonts w:ascii="Times New Roman"/>
                <w:sz w:val="20"/>
                <w:szCs w:val="20"/>
              </w:rPr>
              <w:t>应使用</w:t>
            </w:r>
            <w:r>
              <w:rPr>
                <w:rFonts w:ascii="Times New Roman"/>
                <w:sz w:val="20"/>
                <w:szCs w:val="16"/>
              </w:rPr>
              <w:t>现场</w:t>
            </w:r>
            <w:r>
              <w:rPr>
                <w:rFonts w:ascii="Times New Roman"/>
                <w:sz w:val="20"/>
                <w:szCs w:val="20"/>
              </w:rPr>
              <w:t>数据</w:t>
            </w:r>
          </w:p>
        </w:tc>
      </w:tr>
      <w:tr w14:paraId="2EEB7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10" w:type="dxa"/>
            <w:vMerge w:val="continue"/>
            <w:noWrap w:val="0"/>
            <w:vAlign w:val="center"/>
          </w:tcPr>
          <w:p w14:paraId="5AA6E6CC">
            <w:pPr>
              <w:pStyle w:val="27"/>
              <w:ind w:firstLine="0" w:firstLineChars="0"/>
              <w:jc w:val="center"/>
              <w:rPr>
                <w:rFonts w:ascii="Times New Roman"/>
                <w:sz w:val="20"/>
                <w:szCs w:val="16"/>
              </w:rPr>
            </w:pPr>
          </w:p>
        </w:tc>
        <w:tc>
          <w:tcPr>
            <w:tcW w:w="6305" w:type="dxa"/>
            <w:noWrap w:val="0"/>
            <w:vAlign w:val="center"/>
          </w:tcPr>
          <w:p w14:paraId="02B0DFA9">
            <w:pPr>
              <w:pStyle w:val="27"/>
              <w:numPr>
                <w:ilvl w:val="0"/>
                <w:numId w:val="0"/>
              </w:numPr>
              <w:tabs>
                <w:tab w:val="center" w:pos="420"/>
              </w:tabs>
              <w:jc w:val="left"/>
              <w:rPr>
                <w:rFonts w:hint="default" w:ascii="Times New Roman"/>
                <w:sz w:val="20"/>
                <w:szCs w:val="20"/>
                <w:lang w:val="en-US"/>
              </w:rPr>
            </w:pPr>
            <w:r>
              <w:rPr>
                <w:rFonts w:hint="eastAsia" w:ascii="Times New Roman"/>
                <w:sz w:val="20"/>
                <w:szCs w:val="20"/>
                <w:lang w:val="en-US" w:eastAsia="zh-CN"/>
              </w:rPr>
              <w:t>污染物、固体废物处置的温室气体排放因子；</w:t>
            </w:r>
          </w:p>
        </w:tc>
        <w:tc>
          <w:tcPr>
            <w:tcW w:w="1755" w:type="dxa"/>
            <w:noWrap w:val="0"/>
            <w:vAlign w:val="center"/>
          </w:tcPr>
          <w:p w14:paraId="172EA936">
            <w:pPr>
              <w:pStyle w:val="27"/>
              <w:ind w:firstLine="0" w:firstLineChars="0"/>
              <w:jc w:val="left"/>
              <w:rPr>
                <w:rFonts w:ascii="Times New Roman"/>
                <w:sz w:val="20"/>
                <w:szCs w:val="20"/>
              </w:rPr>
            </w:pPr>
            <w:r>
              <w:rPr>
                <w:rFonts w:ascii="Times New Roman"/>
                <w:sz w:val="20"/>
                <w:szCs w:val="16"/>
              </w:rPr>
              <w:t>可使用次级数据</w:t>
            </w:r>
          </w:p>
        </w:tc>
      </w:tr>
      <w:tr w14:paraId="68FEA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10" w:type="dxa"/>
            <w:vMerge w:val="continue"/>
            <w:noWrap w:val="0"/>
            <w:vAlign w:val="center"/>
          </w:tcPr>
          <w:p w14:paraId="6809DACF">
            <w:pPr>
              <w:pStyle w:val="27"/>
              <w:ind w:firstLine="0" w:firstLineChars="0"/>
              <w:jc w:val="center"/>
              <w:rPr>
                <w:rFonts w:ascii="Times New Roman"/>
                <w:sz w:val="20"/>
                <w:szCs w:val="16"/>
              </w:rPr>
            </w:pPr>
          </w:p>
        </w:tc>
        <w:tc>
          <w:tcPr>
            <w:tcW w:w="6305" w:type="dxa"/>
            <w:noWrap w:val="0"/>
            <w:vAlign w:val="center"/>
          </w:tcPr>
          <w:p w14:paraId="77025497">
            <w:pPr>
              <w:pStyle w:val="27"/>
              <w:tabs>
                <w:tab w:val="center" w:pos="420"/>
              </w:tabs>
              <w:ind w:firstLine="0" w:firstLineChars="0"/>
              <w:jc w:val="left"/>
              <w:rPr>
                <w:rFonts w:hint="default" w:ascii="Times New Roman" w:eastAsia="宋体"/>
                <w:iCs/>
                <w:sz w:val="20"/>
                <w:szCs w:val="16"/>
                <w:lang w:val="en-US" w:eastAsia="zh-CN"/>
              </w:rPr>
            </w:pPr>
            <w:r>
              <w:rPr>
                <w:rFonts w:hint="eastAsia" w:ascii="Times New Roman"/>
                <w:iCs/>
                <w:color w:val="auto"/>
                <w:sz w:val="20"/>
                <w:szCs w:val="16"/>
                <w:lang w:val="en-US" w:eastAsia="zh-CN"/>
              </w:rPr>
              <w:t>包装材料的种类、消耗量、取得方式、产地、运输距离、运输方式；</w:t>
            </w:r>
          </w:p>
        </w:tc>
        <w:tc>
          <w:tcPr>
            <w:tcW w:w="1755" w:type="dxa"/>
            <w:noWrap w:val="0"/>
            <w:vAlign w:val="center"/>
          </w:tcPr>
          <w:p w14:paraId="062E97A7">
            <w:pPr>
              <w:pStyle w:val="27"/>
              <w:ind w:firstLine="0" w:firstLineChars="0"/>
              <w:jc w:val="left"/>
              <w:rPr>
                <w:rFonts w:ascii="Times New Roman"/>
                <w:sz w:val="20"/>
                <w:szCs w:val="16"/>
              </w:rPr>
            </w:pPr>
            <w:r>
              <w:rPr>
                <w:rFonts w:ascii="Times New Roman"/>
                <w:sz w:val="20"/>
                <w:szCs w:val="20"/>
              </w:rPr>
              <w:t>应使用</w:t>
            </w:r>
            <w:r>
              <w:rPr>
                <w:rFonts w:ascii="Times New Roman"/>
                <w:sz w:val="20"/>
                <w:szCs w:val="16"/>
              </w:rPr>
              <w:t>现场</w:t>
            </w:r>
            <w:r>
              <w:rPr>
                <w:rFonts w:ascii="Times New Roman"/>
                <w:sz w:val="20"/>
                <w:szCs w:val="20"/>
              </w:rPr>
              <w:t>数据</w:t>
            </w:r>
          </w:p>
        </w:tc>
      </w:tr>
      <w:tr w14:paraId="4FE24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10" w:type="dxa"/>
            <w:vMerge w:val="restart"/>
            <w:noWrap w:val="0"/>
            <w:vAlign w:val="center"/>
          </w:tcPr>
          <w:p w14:paraId="6C300636">
            <w:pPr>
              <w:pStyle w:val="27"/>
              <w:ind w:firstLine="0" w:firstLineChars="0"/>
              <w:jc w:val="center"/>
              <w:rPr>
                <w:rFonts w:hint="eastAsia" w:ascii="Times New Roman" w:eastAsia="宋体"/>
                <w:sz w:val="20"/>
                <w:szCs w:val="16"/>
                <w:lang w:eastAsia="zh-CN"/>
              </w:rPr>
            </w:pPr>
            <w:r>
              <w:rPr>
                <w:rFonts w:ascii="Times New Roman"/>
                <w:sz w:val="20"/>
                <w:szCs w:val="16"/>
              </w:rPr>
              <w:t>产品</w:t>
            </w:r>
            <w:r>
              <w:rPr>
                <w:rFonts w:hint="eastAsia" w:ascii="Times New Roman"/>
                <w:sz w:val="20"/>
                <w:szCs w:val="16"/>
                <w:lang w:val="en-US" w:eastAsia="zh-CN"/>
              </w:rPr>
              <w:t>分销</w:t>
            </w:r>
            <w:r>
              <w:rPr>
                <w:rFonts w:ascii="Times New Roman"/>
                <w:sz w:val="20"/>
                <w:szCs w:val="16"/>
              </w:rPr>
              <w:t>阶段</w:t>
            </w:r>
            <w:r>
              <w:rPr>
                <w:rFonts w:hint="eastAsia" w:ascii="Times New Roman"/>
                <w:sz w:val="20"/>
                <w:szCs w:val="16"/>
                <w:lang w:eastAsia="zh-CN"/>
              </w:rPr>
              <w:t>（</w:t>
            </w:r>
            <w:r>
              <w:rPr>
                <w:rFonts w:ascii="Times New Roman"/>
                <w:sz w:val="20"/>
                <w:szCs w:val="16"/>
              </w:rPr>
              <w:t>C</w:t>
            </w:r>
            <w:r>
              <w:rPr>
                <w:rFonts w:hint="eastAsia" w:ascii="Times New Roman"/>
                <w:sz w:val="20"/>
                <w:szCs w:val="16"/>
                <w:lang w:eastAsia="zh-CN"/>
              </w:rPr>
              <w:t>）</w:t>
            </w:r>
          </w:p>
        </w:tc>
        <w:tc>
          <w:tcPr>
            <w:tcW w:w="6305" w:type="dxa"/>
            <w:noWrap w:val="0"/>
            <w:vAlign w:val="center"/>
          </w:tcPr>
          <w:p w14:paraId="2526A7CD">
            <w:pPr>
              <w:pStyle w:val="27"/>
              <w:tabs>
                <w:tab w:val="center" w:pos="420"/>
              </w:tabs>
              <w:ind w:firstLine="0" w:firstLineChars="0"/>
              <w:jc w:val="left"/>
              <w:rPr>
                <w:rFonts w:ascii="Times New Roman"/>
                <w:sz w:val="20"/>
                <w:szCs w:val="20"/>
              </w:rPr>
            </w:pPr>
            <w:r>
              <w:rPr>
                <w:rFonts w:ascii="Times New Roman"/>
                <w:iCs/>
                <w:sz w:val="20"/>
                <w:szCs w:val="16"/>
              </w:rPr>
              <w:t>产品运输至使用者所在地的</w:t>
            </w:r>
            <w:r>
              <w:rPr>
                <w:rFonts w:hint="eastAsia" w:ascii="Times New Roman"/>
                <w:iCs/>
                <w:sz w:val="20"/>
                <w:szCs w:val="16"/>
                <w:lang w:val="en-US" w:eastAsia="zh-CN"/>
              </w:rPr>
              <w:t>运输量、</w:t>
            </w:r>
            <w:r>
              <w:rPr>
                <w:rFonts w:ascii="Times New Roman"/>
                <w:iCs/>
                <w:sz w:val="20"/>
                <w:szCs w:val="16"/>
              </w:rPr>
              <w:t>运输距离</w:t>
            </w:r>
            <w:r>
              <w:rPr>
                <w:rFonts w:hint="eastAsia" w:ascii="Times New Roman"/>
                <w:iCs/>
                <w:sz w:val="20"/>
                <w:szCs w:val="16"/>
                <w:lang w:eastAsia="zh-CN"/>
              </w:rPr>
              <w:t>、</w:t>
            </w:r>
            <w:r>
              <w:rPr>
                <w:rFonts w:ascii="Times New Roman"/>
                <w:iCs/>
                <w:sz w:val="20"/>
                <w:szCs w:val="16"/>
              </w:rPr>
              <w:t>运输方式；</w:t>
            </w:r>
          </w:p>
        </w:tc>
        <w:tc>
          <w:tcPr>
            <w:tcW w:w="1755" w:type="dxa"/>
            <w:noWrap w:val="0"/>
            <w:vAlign w:val="center"/>
          </w:tcPr>
          <w:p w14:paraId="2D637BB4">
            <w:pPr>
              <w:pStyle w:val="27"/>
              <w:ind w:firstLine="0" w:firstLineChars="0"/>
              <w:jc w:val="left"/>
              <w:rPr>
                <w:rFonts w:ascii="Times New Roman"/>
                <w:sz w:val="20"/>
                <w:szCs w:val="20"/>
              </w:rPr>
            </w:pPr>
            <w:r>
              <w:rPr>
                <w:rFonts w:ascii="Times New Roman"/>
                <w:sz w:val="20"/>
                <w:szCs w:val="16"/>
              </w:rPr>
              <w:t>宜使用</w:t>
            </w:r>
            <w:r>
              <w:rPr>
                <w:rFonts w:hint="eastAsia" w:ascii="Times New Roman"/>
                <w:sz w:val="20"/>
                <w:szCs w:val="16"/>
                <w:lang w:val="en-US" w:eastAsia="zh-CN"/>
              </w:rPr>
              <w:t>现场</w:t>
            </w:r>
            <w:r>
              <w:rPr>
                <w:rFonts w:ascii="Times New Roman"/>
                <w:sz w:val="20"/>
                <w:szCs w:val="16"/>
              </w:rPr>
              <w:t>数据</w:t>
            </w:r>
          </w:p>
        </w:tc>
      </w:tr>
      <w:tr w14:paraId="0EE6B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10" w:type="dxa"/>
            <w:vMerge w:val="continue"/>
            <w:noWrap w:val="0"/>
            <w:vAlign w:val="center"/>
          </w:tcPr>
          <w:p w14:paraId="36C3ECF6">
            <w:pPr>
              <w:pStyle w:val="27"/>
              <w:ind w:firstLine="0" w:firstLineChars="0"/>
              <w:jc w:val="center"/>
              <w:rPr>
                <w:rFonts w:ascii="Times New Roman"/>
                <w:sz w:val="20"/>
                <w:szCs w:val="20"/>
              </w:rPr>
            </w:pPr>
          </w:p>
        </w:tc>
        <w:tc>
          <w:tcPr>
            <w:tcW w:w="6305" w:type="dxa"/>
            <w:noWrap w:val="0"/>
            <w:vAlign w:val="center"/>
          </w:tcPr>
          <w:p w14:paraId="71E65C28">
            <w:pPr>
              <w:pStyle w:val="27"/>
              <w:tabs>
                <w:tab w:val="center" w:pos="420"/>
              </w:tabs>
              <w:ind w:firstLine="0" w:firstLineChars="0"/>
              <w:jc w:val="left"/>
              <w:rPr>
                <w:rFonts w:hint="eastAsia" w:ascii="Times New Roman" w:eastAsia="宋体"/>
                <w:sz w:val="20"/>
                <w:szCs w:val="20"/>
                <w:lang w:eastAsia="zh-CN"/>
              </w:rPr>
            </w:pPr>
            <w:r>
              <w:rPr>
                <w:rFonts w:ascii="Times New Roman"/>
                <w:sz w:val="20"/>
                <w:szCs w:val="20"/>
                <w:highlight w:val="none"/>
              </w:rPr>
              <w:t>不同运输方式的温室气体排放因子</w:t>
            </w:r>
            <w:r>
              <w:rPr>
                <w:rFonts w:hint="eastAsia" w:ascii="Times New Roman"/>
                <w:sz w:val="20"/>
                <w:szCs w:val="20"/>
                <w:highlight w:val="none"/>
                <w:lang w:eastAsia="zh-CN"/>
              </w:rPr>
              <w:t>；</w:t>
            </w:r>
          </w:p>
        </w:tc>
        <w:tc>
          <w:tcPr>
            <w:tcW w:w="1755" w:type="dxa"/>
            <w:noWrap w:val="0"/>
            <w:vAlign w:val="center"/>
          </w:tcPr>
          <w:p w14:paraId="5B63FEF4">
            <w:pPr>
              <w:pStyle w:val="27"/>
              <w:ind w:firstLine="0" w:firstLineChars="0"/>
              <w:jc w:val="left"/>
              <w:rPr>
                <w:rFonts w:ascii="Times New Roman"/>
                <w:sz w:val="20"/>
                <w:szCs w:val="16"/>
              </w:rPr>
            </w:pPr>
            <w:r>
              <w:rPr>
                <w:rFonts w:ascii="Times New Roman"/>
                <w:sz w:val="20"/>
                <w:szCs w:val="20"/>
                <w:highlight w:val="none"/>
              </w:rPr>
              <w:t>可使用次级数据</w:t>
            </w:r>
          </w:p>
        </w:tc>
      </w:tr>
      <w:tr w14:paraId="0D2D9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10" w:type="dxa"/>
            <w:vMerge w:val="continue"/>
            <w:noWrap w:val="0"/>
            <w:vAlign w:val="center"/>
          </w:tcPr>
          <w:p w14:paraId="55682B07">
            <w:pPr>
              <w:pStyle w:val="27"/>
              <w:ind w:firstLine="0" w:firstLineChars="0"/>
              <w:jc w:val="center"/>
              <w:rPr>
                <w:rFonts w:ascii="Times New Roman"/>
                <w:sz w:val="20"/>
                <w:szCs w:val="20"/>
              </w:rPr>
            </w:pPr>
          </w:p>
        </w:tc>
        <w:tc>
          <w:tcPr>
            <w:tcW w:w="6305" w:type="dxa"/>
            <w:noWrap w:val="0"/>
            <w:vAlign w:val="center"/>
          </w:tcPr>
          <w:p w14:paraId="03D4DFFE">
            <w:pPr>
              <w:pStyle w:val="27"/>
              <w:tabs>
                <w:tab w:val="center" w:pos="420"/>
              </w:tabs>
              <w:ind w:firstLine="0" w:firstLineChars="0"/>
              <w:jc w:val="left"/>
              <w:rPr>
                <w:rFonts w:ascii="Times New Roman"/>
                <w:sz w:val="20"/>
                <w:szCs w:val="16"/>
              </w:rPr>
            </w:pPr>
            <w:r>
              <w:rPr>
                <w:rFonts w:ascii="Times New Roman"/>
                <w:sz w:val="20"/>
                <w:szCs w:val="20"/>
              </w:rPr>
              <w:t>产品分销过程所用</w:t>
            </w:r>
            <w:r>
              <w:rPr>
                <w:rFonts w:hint="eastAsia" w:ascii="Times New Roman"/>
                <w:sz w:val="20"/>
                <w:szCs w:val="20"/>
                <w:lang w:val="en-US" w:eastAsia="zh-CN"/>
              </w:rPr>
              <w:t>能源和物料</w:t>
            </w:r>
            <w:r>
              <w:rPr>
                <w:rFonts w:ascii="Times New Roman"/>
                <w:sz w:val="20"/>
                <w:szCs w:val="20"/>
              </w:rPr>
              <w:t>的消耗</w:t>
            </w:r>
            <w:r>
              <w:rPr>
                <w:rFonts w:hint="eastAsia" w:ascii="Times New Roman"/>
                <w:sz w:val="20"/>
                <w:szCs w:val="20"/>
                <w:lang w:val="en-US" w:eastAsia="zh-CN"/>
              </w:rPr>
              <w:t>量</w:t>
            </w:r>
            <w:r>
              <w:rPr>
                <w:rFonts w:ascii="Times New Roman"/>
                <w:sz w:val="20"/>
                <w:szCs w:val="20"/>
              </w:rPr>
              <w:t>；</w:t>
            </w:r>
          </w:p>
        </w:tc>
        <w:tc>
          <w:tcPr>
            <w:tcW w:w="1755" w:type="dxa"/>
            <w:noWrap w:val="0"/>
            <w:vAlign w:val="center"/>
          </w:tcPr>
          <w:p w14:paraId="6B6F8E65">
            <w:pPr>
              <w:pStyle w:val="27"/>
              <w:ind w:firstLine="0" w:firstLineChars="0"/>
              <w:jc w:val="left"/>
              <w:rPr>
                <w:rFonts w:ascii="Times New Roman"/>
                <w:sz w:val="20"/>
                <w:szCs w:val="20"/>
              </w:rPr>
            </w:pPr>
            <w:r>
              <w:rPr>
                <w:rFonts w:ascii="Times New Roman"/>
                <w:sz w:val="20"/>
                <w:szCs w:val="16"/>
              </w:rPr>
              <w:t>可使用次级数据</w:t>
            </w:r>
          </w:p>
        </w:tc>
      </w:tr>
      <w:tr w14:paraId="20E5D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10" w:type="dxa"/>
            <w:vMerge w:val="continue"/>
            <w:noWrap w:val="0"/>
            <w:vAlign w:val="center"/>
          </w:tcPr>
          <w:p w14:paraId="2666FE6C">
            <w:pPr>
              <w:pStyle w:val="27"/>
              <w:ind w:firstLine="0" w:firstLineChars="0"/>
              <w:jc w:val="center"/>
              <w:rPr>
                <w:rFonts w:ascii="Times New Roman"/>
                <w:sz w:val="20"/>
                <w:szCs w:val="20"/>
              </w:rPr>
            </w:pPr>
          </w:p>
        </w:tc>
        <w:tc>
          <w:tcPr>
            <w:tcW w:w="6305" w:type="dxa"/>
            <w:noWrap w:val="0"/>
            <w:vAlign w:val="center"/>
          </w:tcPr>
          <w:p w14:paraId="0D361B1B">
            <w:pPr>
              <w:pStyle w:val="27"/>
              <w:tabs>
                <w:tab w:val="center" w:pos="420"/>
              </w:tabs>
              <w:ind w:firstLine="0" w:firstLineChars="0"/>
              <w:jc w:val="left"/>
              <w:rPr>
                <w:rFonts w:ascii="Times New Roman"/>
                <w:sz w:val="20"/>
                <w:szCs w:val="20"/>
                <w:highlight w:val="none"/>
                <w:lang w:val="en-US" w:eastAsia="zh-CN" w:bidi="ar-SA"/>
              </w:rPr>
            </w:pPr>
            <w:r>
              <w:rPr>
                <w:rFonts w:ascii="Times New Roman"/>
                <w:sz w:val="20"/>
                <w:szCs w:val="20"/>
                <w:highlight w:val="none"/>
              </w:rPr>
              <w:t>产品分销</w:t>
            </w:r>
            <w:r>
              <w:rPr>
                <w:rFonts w:hint="eastAsia" w:ascii="Times New Roman"/>
                <w:sz w:val="20"/>
                <w:szCs w:val="20"/>
                <w:highlight w:val="none"/>
                <w:lang w:val="en-US" w:eastAsia="zh-CN"/>
              </w:rPr>
              <w:t>阶段</w:t>
            </w:r>
            <w:r>
              <w:rPr>
                <w:rFonts w:ascii="Times New Roman"/>
                <w:sz w:val="20"/>
                <w:szCs w:val="20"/>
                <w:highlight w:val="none"/>
              </w:rPr>
              <w:t>所用</w:t>
            </w:r>
            <w:r>
              <w:rPr>
                <w:rFonts w:hint="eastAsia" w:ascii="Times New Roman"/>
                <w:sz w:val="20"/>
                <w:szCs w:val="20"/>
                <w:highlight w:val="none"/>
                <w:lang w:val="en-US" w:eastAsia="zh-CN"/>
              </w:rPr>
              <w:t>能源和物料获取的温室气体排放因子；</w:t>
            </w:r>
          </w:p>
        </w:tc>
        <w:tc>
          <w:tcPr>
            <w:tcW w:w="1755" w:type="dxa"/>
            <w:noWrap w:val="0"/>
            <w:vAlign w:val="center"/>
          </w:tcPr>
          <w:p w14:paraId="07264D43">
            <w:pPr>
              <w:pStyle w:val="27"/>
              <w:ind w:firstLine="0" w:firstLineChars="0"/>
              <w:jc w:val="left"/>
              <w:rPr>
                <w:rFonts w:ascii="Times New Roman"/>
                <w:sz w:val="20"/>
                <w:szCs w:val="16"/>
                <w:highlight w:val="none"/>
                <w:lang w:val="en-US" w:eastAsia="zh-CN" w:bidi="ar-SA"/>
              </w:rPr>
            </w:pPr>
            <w:r>
              <w:rPr>
                <w:rFonts w:ascii="Times New Roman"/>
                <w:sz w:val="20"/>
                <w:szCs w:val="16"/>
                <w:highlight w:val="none"/>
              </w:rPr>
              <w:t>可使用次级数据</w:t>
            </w:r>
          </w:p>
        </w:tc>
      </w:tr>
      <w:tr w14:paraId="266E4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10" w:type="dxa"/>
            <w:vMerge w:val="restart"/>
            <w:noWrap w:val="0"/>
            <w:vAlign w:val="center"/>
          </w:tcPr>
          <w:p w14:paraId="79AB2604">
            <w:pPr>
              <w:pStyle w:val="27"/>
              <w:ind w:firstLine="0" w:firstLineChars="0"/>
              <w:jc w:val="center"/>
              <w:rPr>
                <w:rFonts w:hint="eastAsia" w:ascii="Times New Roman" w:eastAsia="宋体"/>
                <w:sz w:val="20"/>
                <w:szCs w:val="20"/>
                <w:lang w:eastAsia="zh-CN"/>
              </w:rPr>
            </w:pPr>
            <w:r>
              <w:rPr>
                <w:rFonts w:hint="eastAsia" w:ascii="Times New Roman"/>
                <w:sz w:val="20"/>
                <w:szCs w:val="16"/>
                <w:lang w:val="en-US" w:eastAsia="zh-CN"/>
              </w:rPr>
              <w:t>施工使用阶段</w:t>
            </w:r>
            <w:r>
              <w:rPr>
                <w:rFonts w:hint="eastAsia" w:ascii="Times New Roman"/>
                <w:sz w:val="20"/>
                <w:szCs w:val="16"/>
                <w:lang w:eastAsia="zh-CN"/>
              </w:rPr>
              <w:t>（</w:t>
            </w:r>
            <w:r>
              <w:rPr>
                <w:rFonts w:hint="eastAsia" w:ascii="Times New Roman"/>
                <w:sz w:val="20"/>
                <w:szCs w:val="16"/>
                <w:lang w:val="en-US" w:eastAsia="zh-CN"/>
              </w:rPr>
              <w:t>D</w:t>
            </w:r>
            <w:r>
              <w:rPr>
                <w:rFonts w:hint="eastAsia" w:ascii="Times New Roman"/>
                <w:sz w:val="20"/>
                <w:szCs w:val="16"/>
                <w:lang w:eastAsia="zh-CN"/>
              </w:rPr>
              <w:t>）</w:t>
            </w:r>
          </w:p>
        </w:tc>
        <w:tc>
          <w:tcPr>
            <w:tcW w:w="6305" w:type="dxa"/>
            <w:noWrap w:val="0"/>
            <w:vAlign w:val="center"/>
          </w:tcPr>
          <w:p w14:paraId="2406AF2D">
            <w:pPr>
              <w:pStyle w:val="27"/>
              <w:tabs>
                <w:tab w:val="center" w:pos="420"/>
              </w:tabs>
              <w:ind w:firstLine="0" w:firstLineChars="0"/>
              <w:jc w:val="left"/>
              <w:rPr>
                <w:rFonts w:ascii="Times New Roman"/>
                <w:sz w:val="20"/>
                <w:szCs w:val="16"/>
                <w:lang w:val="en-US" w:eastAsia="zh-CN" w:bidi="ar-SA"/>
              </w:rPr>
            </w:pPr>
            <w:r>
              <w:rPr>
                <w:rFonts w:hint="eastAsia" w:ascii="Times New Roman"/>
                <w:sz w:val="20"/>
                <w:szCs w:val="16"/>
                <w:lang w:val="en-US" w:eastAsia="zh-CN"/>
              </w:rPr>
              <w:t>施工</w:t>
            </w:r>
            <w:r>
              <w:rPr>
                <w:rFonts w:ascii="Times New Roman"/>
                <w:sz w:val="20"/>
                <w:szCs w:val="20"/>
              </w:rPr>
              <w:t>、</w:t>
            </w:r>
            <w:r>
              <w:rPr>
                <w:rFonts w:hint="eastAsia" w:ascii="Times New Roman"/>
                <w:sz w:val="20"/>
                <w:szCs w:val="16"/>
                <w:lang w:val="en-US" w:eastAsia="zh-CN"/>
              </w:rPr>
              <w:t>使用</w:t>
            </w:r>
            <w:r>
              <w:rPr>
                <w:rFonts w:ascii="Times New Roman"/>
                <w:sz w:val="20"/>
                <w:szCs w:val="20"/>
              </w:rPr>
              <w:t>过程中</w:t>
            </w:r>
            <w:r>
              <w:rPr>
                <w:rFonts w:hint="eastAsia" w:ascii="Times New Roman"/>
                <w:sz w:val="20"/>
                <w:szCs w:val="20"/>
                <w:lang w:val="en-US" w:eastAsia="zh-CN"/>
              </w:rPr>
              <w:t>清洗</w:t>
            </w:r>
            <w:r>
              <w:rPr>
                <w:rFonts w:ascii="Times New Roman"/>
                <w:sz w:val="20"/>
                <w:szCs w:val="20"/>
              </w:rPr>
              <w:t>材料（如水、清洁剂等）的消耗量</w:t>
            </w:r>
            <w:r>
              <w:rPr>
                <w:rFonts w:hint="eastAsia" w:ascii="Times New Roman"/>
                <w:sz w:val="20"/>
                <w:szCs w:val="20"/>
                <w:lang w:eastAsia="zh-CN"/>
              </w:rPr>
              <w:t>、</w:t>
            </w:r>
            <w:r>
              <w:rPr>
                <w:rFonts w:hint="eastAsia" w:ascii="Times New Roman"/>
                <w:sz w:val="20"/>
                <w:szCs w:val="20"/>
                <w:lang w:val="en-US" w:eastAsia="zh-CN"/>
              </w:rPr>
              <w:t>防护装备废弃处理排放</w:t>
            </w:r>
            <w:r>
              <w:rPr>
                <w:rFonts w:ascii="Times New Roman"/>
                <w:sz w:val="20"/>
                <w:szCs w:val="20"/>
              </w:rPr>
              <w:t>；</w:t>
            </w:r>
          </w:p>
        </w:tc>
        <w:tc>
          <w:tcPr>
            <w:tcW w:w="1755" w:type="dxa"/>
            <w:noWrap w:val="0"/>
            <w:vAlign w:val="center"/>
          </w:tcPr>
          <w:p w14:paraId="6CA3C028">
            <w:pPr>
              <w:pStyle w:val="27"/>
              <w:ind w:firstLine="0" w:firstLineChars="0"/>
              <w:jc w:val="left"/>
              <w:rPr>
                <w:rFonts w:ascii="Times New Roman"/>
                <w:sz w:val="20"/>
                <w:szCs w:val="20"/>
                <w:lang w:val="en-US" w:eastAsia="zh-CN" w:bidi="ar-SA"/>
              </w:rPr>
            </w:pPr>
            <w:r>
              <w:rPr>
                <w:rFonts w:ascii="Times New Roman"/>
                <w:sz w:val="20"/>
                <w:szCs w:val="16"/>
              </w:rPr>
              <w:t>可使用次级数据</w:t>
            </w:r>
          </w:p>
        </w:tc>
      </w:tr>
      <w:tr w14:paraId="6CAC9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10" w:type="dxa"/>
            <w:vMerge w:val="continue"/>
            <w:noWrap w:val="0"/>
            <w:vAlign w:val="center"/>
          </w:tcPr>
          <w:p w14:paraId="52E522CA">
            <w:pPr>
              <w:pStyle w:val="27"/>
              <w:ind w:firstLine="0" w:firstLineChars="0"/>
              <w:jc w:val="center"/>
              <w:rPr>
                <w:rFonts w:ascii="Times New Roman"/>
                <w:sz w:val="20"/>
                <w:szCs w:val="20"/>
              </w:rPr>
            </w:pPr>
          </w:p>
        </w:tc>
        <w:tc>
          <w:tcPr>
            <w:tcW w:w="6305" w:type="dxa"/>
            <w:noWrap w:val="0"/>
            <w:vAlign w:val="center"/>
          </w:tcPr>
          <w:p w14:paraId="485D5D98">
            <w:pPr>
              <w:pStyle w:val="27"/>
              <w:tabs>
                <w:tab w:val="center" w:pos="420"/>
              </w:tabs>
              <w:ind w:firstLine="0" w:firstLineChars="0"/>
              <w:jc w:val="left"/>
              <w:rPr>
                <w:rFonts w:ascii="Times New Roman"/>
                <w:sz w:val="20"/>
                <w:szCs w:val="16"/>
                <w:highlight w:val="none"/>
                <w:lang w:val="en-US" w:eastAsia="zh-CN" w:bidi="ar-SA"/>
              </w:rPr>
            </w:pPr>
            <w:r>
              <w:rPr>
                <w:rFonts w:hint="eastAsia" w:ascii="Times New Roman"/>
                <w:sz w:val="20"/>
                <w:szCs w:val="16"/>
                <w:highlight w:val="none"/>
                <w:lang w:val="en-US" w:eastAsia="zh-CN"/>
              </w:rPr>
              <w:t>施工、</w:t>
            </w:r>
            <w:r>
              <w:rPr>
                <w:rFonts w:ascii="Times New Roman"/>
                <w:sz w:val="20"/>
                <w:szCs w:val="16"/>
                <w:highlight w:val="none"/>
              </w:rPr>
              <w:t>使用阶段</w:t>
            </w:r>
            <w:r>
              <w:rPr>
                <w:rFonts w:ascii="Times New Roman"/>
                <w:sz w:val="20"/>
                <w:szCs w:val="20"/>
                <w:highlight w:val="none"/>
              </w:rPr>
              <w:t>所用</w:t>
            </w:r>
            <w:r>
              <w:rPr>
                <w:rFonts w:hint="eastAsia" w:ascii="Times New Roman"/>
                <w:sz w:val="20"/>
                <w:szCs w:val="20"/>
                <w:highlight w:val="none"/>
                <w:lang w:val="en-US" w:eastAsia="zh-CN"/>
              </w:rPr>
              <w:t>能源和物料获取的温室气体排放因子；</w:t>
            </w:r>
          </w:p>
        </w:tc>
        <w:tc>
          <w:tcPr>
            <w:tcW w:w="1755" w:type="dxa"/>
            <w:noWrap w:val="0"/>
            <w:vAlign w:val="center"/>
          </w:tcPr>
          <w:p w14:paraId="5BA11B56">
            <w:pPr>
              <w:pStyle w:val="27"/>
              <w:ind w:firstLine="0" w:firstLineChars="0"/>
              <w:jc w:val="left"/>
              <w:rPr>
                <w:rFonts w:ascii="Times New Roman"/>
                <w:sz w:val="20"/>
                <w:szCs w:val="20"/>
                <w:highlight w:val="none"/>
                <w:lang w:val="en-US" w:eastAsia="zh-CN" w:bidi="ar-SA"/>
              </w:rPr>
            </w:pPr>
            <w:r>
              <w:rPr>
                <w:rFonts w:ascii="Times New Roman"/>
                <w:sz w:val="20"/>
                <w:szCs w:val="16"/>
                <w:highlight w:val="none"/>
              </w:rPr>
              <w:t>可使用次级数据</w:t>
            </w:r>
          </w:p>
        </w:tc>
      </w:tr>
      <w:tr w14:paraId="1CAB5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10" w:type="dxa"/>
            <w:vMerge w:val="continue"/>
            <w:noWrap w:val="0"/>
            <w:vAlign w:val="center"/>
          </w:tcPr>
          <w:p w14:paraId="13351EEE">
            <w:pPr>
              <w:pStyle w:val="27"/>
              <w:ind w:firstLine="0" w:firstLineChars="0"/>
              <w:jc w:val="center"/>
              <w:rPr>
                <w:rFonts w:ascii="Times New Roman"/>
                <w:sz w:val="20"/>
                <w:szCs w:val="16"/>
                <w:highlight w:val="none"/>
              </w:rPr>
            </w:pPr>
          </w:p>
        </w:tc>
        <w:tc>
          <w:tcPr>
            <w:tcW w:w="6305" w:type="dxa"/>
            <w:noWrap w:val="0"/>
            <w:vAlign w:val="center"/>
          </w:tcPr>
          <w:p w14:paraId="68793FC6">
            <w:pPr>
              <w:pStyle w:val="27"/>
              <w:tabs>
                <w:tab w:val="center" w:pos="420"/>
              </w:tabs>
              <w:ind w:firstLine="0" w:firstLineChars="0"/>
              <w:jc w:val="left"/>
              <w:rPr>
                <w:rFonts w:hint="default" w:ascii="Times New Roman"/>
                <w:sz w:val="20"/>
                <w:szCs w:val="20"/>
                <w:lang w:val="en-US" w:eastAsia="zh-CN"/>
              </w:rPr>
            </w:pPr>
            <w:r>
              <w:rPr>
                <w:rFonts w:hint="eastAsia" w:ascii="Times New Roman"/>
                <w:sz w:val="20"/>
                <w:szCs w:val="20"/>
                <w:lang w:val="en-US" w:eastAsia="zh-CN"/>
              </w:rPr>
              <w:t>使用过程中涂料涂层缓慢挥发的微量有机化合物排放；</w:t>
            </w:r>
          </w:p>
        </w:tc>
        <w:tc>
          <w:tcPr>
            <w:tcW w:w="1755" w:type="dxa"/>
            <w:noWrap w:val="0"/>
            <w:vAlign w:val="center"/>
          </w:tcPr>
          <w:p w14:paraId="4C86D49B">
            <w:pPr>
              <w:pStyle w:val="27"/>
              <w:ind w:firstLine="0" w:firstLineChars="0"/>
              <w:jc w:val="left"/>
              <w:rPr>
                <w:rFonts w:ascii="Times New Roman"/>
                <w:sz w:val="20"/>
                <w:szCs w:val="16"/>
              </w:rPr>
            </w:pPr>
            <w:r>
              <w:rPr>
                <w:rFonts w:ascii="Times New Roman"/>
                <w:sz w:val="20"/>
                <w:szCs w:val="16"/>
                <w:highlight w:val="none"/>
              </w:rPr>
              <w:t>可使用次级数据</w:t>
            </w:r>
          </w:p>
        </w:tc>
      </w:tr>
      <w:tr w14:paraId="1DDB8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10" w:type="dxa"/>
            <w:vMerge w:val="restart"/>
            <w:noWrap w:val="0"/>
            <w:vAlign w:val="center"/>
          </w:tcPr>
          <w:p w14:paraId="78D3523D">
            <w:pPr>
              <w:pStyle w:val="27"/>
              <w:ind w:firstLine="0" w:firstLineChars="0"/>
              <w:jc w:val="center"/>
              <w:rPr>
                <w:rFonts w:ascii="Times New Roman"/>
                <w:sz w:val="20"/>
                <w:szCs w:val="20"/>
              </w:rPr>
            </w:pPr>
            <w:r>
              <w:rPr>
                <w:rFonts w:ascii="Times New Roman"/>
                <w:sz w:val="20"/>
                <w:szCs w:val="16"/>
                <w:highlight w:val="none"/>
              </w:rPr>
              <w:t>生命末期阶段</w:t>
            </w:r>
            <w:r>
              <w:rPr>
                <w:rFonts w:hint="eastAsia" w:ascii="Times New Roman"/>
                <w:sz w:val="20"/>
                <w:szCs w:val="16"/>
                <w:highlight w:val="none"/>
                <w:lang w:eastAsia="zh-CN"/>
              </w:rPr>
              <w:t>（</w:t>
            </w:r>
            <w:r>
              <w:rPr>
                <w:rFonts w:hint="eastAsia" w:ascii="Times New Roman"/>
                <w:sz w:val="20"/>
                <w:szCs w:val="16"/>
                <w:highlight w:val="none"/>
                <w:lang w:val="en-US" w:eastAsia="zh-CN"/>
              </w:rPr>
              <w:t>E</w:t>
            </w:r>
            <w:r>
              <w:rPr>
                <w:rFonts w:hint="eastAsia" w:ascii="Times New Roman"/>
                <w:sz w:val="20"/>
                <w:szCs w:val="16"/>
                <w:highlight w:val="none"/>
                <w:lang w:eastAsia="zh-CN"/>
              </w:rPr>
              <w:t>）</w:t>
            </w:r>
          </w:p>
        </w:tc>
        <w:tc>
          <w:tcPr>
            <w:tcW w:w="6305" w:type="dxa"/>
            <w:noWrap w:val="0"/>
            <w:vAlign w:val="center"/>
          </w:tcPr>
          <w:p w14:paraId="57A9CB91">
            <w:pPr>
              <w:pStyle w:val="27"/>
              <w:tabs>
                <w:tab w:val="center" w:pos="420"/>
              </w:tabs>
              <w:ind w:firstLine="0" w:firstLineChars="0"/>
              <w:jc w:val="left"/>
              <w:rPr>
                <w:rFonts w:hint="eastAsia" w:ascii="Times New Roman"/>
                <w:sz w:val="20"/>
                <w:szCs w:val="16"/>
                <w:lang w:val="en-US" w:eastAsia="zh-CN" w:bidi="ar-SA"/>
              </w:rPr>
            </w:pPr>
            <w:r>
              <w:rPr>
                <w:rFonts w:hint="eastAsia" w:ascii="Times New Roman"/>
                <w:sz w:val="20"/>
                <w:szCs w:val="20"/>
                <w:lang w:val="en-US" w:eastAsia="zh-CN"/>
              </w:rPr>
              <w:t>废弃物拆除</w:t>
            </w:r>
            <w:r>
              <w:rPr>
                <w:rFonts w:ascii="Times New Roman"/>
                <w:sz w:val="20"/>
                <w:szCs w:val="20"/>
              </w:rPr>
              <w:t>过程</w:t>
            </w:r>
            <w:r>
              <w:rPr>
                <w:rFonts w:hint="eastAsia" w:ascii="Times New Roman"/>
                <w:sz w:val="20"/>
                <w:szCs w:val="20"/>
              </w:rPr>
              <w:t>能源</w:t>
            </w:r>
            <w:r>
              <w:rPr>
                <w:rFonts w:ascii="Times New Roman"/>
                <w:sz w:val="20"/>
                <w:szCs w:val="20"/>
              </w:rPr>
              <w:t>的消耗量；</w:t>
            </w:r>
          </w:p>
        </w:tc>
        <w:tc>
          <w:tcPr>
            <w:tcW w:w="1755" w:type="dxa"/>
            <w:noWrap w:val="0"/>
            <w:vAlign w:val="center"/>
          </w:tcPr>
          <w:p w14:paraId="34D9D2B4">
            <w:pPr>
              <w:pStyle w:val="27"/>
              <w:ind w:firstLine="0" w:firstLineChars="0"/>
              <w:jc w:val="left"/>
              <w:rPr>
                <w:rFonts w:ascii="Times New Roman"/>
                <w:sz w:val="20"/>
                <w:szCs w:val="16"/>
                <w:lang w:val="en-US" w:eastAsia="zh-CN" w:bidi="ar-SA"/>
              </w:rPr>
            </w:pPr>
            <w:r>
              <w:rPr>
                <w:rFonts w:ascii="Times New Roman"/>
                <w:sz w:val="20"/>
                <w:szCs w:val="16"/>
              </w:rPr>
              <w:t>可使用次级数据</w:t>
            </w:r>
          </w:p>
        </w:tc>
      </w:tr>
      <w:tr w14:paraId="1C69D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10" w:type="dxa"/>
            <w:vMerge w:val="continue"/>
            <w:noWrap w:val="0"/>
            <w:vAlign w:val="center"/>
          </w:tcPr>
          <w:p w14:paraId="23B6B036">
            <w:pPr>
              <w:pStyle w:val="27"/>
              <w:ind w:firstLine="0" w:firstLineChars="0"/>
              <w:jc w:val="center"/>
              <w:rPr>
                <w:rFonts w:ascii="Times New Roman"/>
                <w:sz w:val="20"/>
                <w:szCs w:val="20"/>
              </w:rPr>
            </w:pPr>
          </w:p>
        </w:tc>
        <w:tc>
          <w:tcPr>
            <w:tcW w:w="6305" w:type="dxa"/>
            <w:noWrap w:val="0"/>
            <w:vAlign w:val="center"/>
          </w:tcPr>
          <w:p w14:paraId="7B0C1028">
            <w:pPr>
              <w:pStyle w:val="27"/>
              <w:tabs>
                <w:tab w:val="center" w:pos="420"/>
              </w:tabs>
              <w:ind w:firstLine="0" w:firstLineChars="0"/>
              <w:jc w:val="left"/>
              <w:rPr>
                <w:rFonts w:hint="eastAsia" w:ascii="Times New Roman"/>
                <w:sz w:val="20"/>
                <w:szCs w:val="16"/>
                <w:lang w:val="en-US" w:eastAsia="zh-CN" w:bidi="ar-SA"/>
              </w:rPr>
            </w:pPr>
            <w:r>
              <w:rPr>
                <w:rFonts w:ascii="Times New Roman"/>
                <w:sz w:val="20"/>
                <w:szCs w:val="20"/>
              </w:rPr>
              <w:t>产品回收运输至回收处理/处置地的运输量、运输距离、运输方式；</w:t>
            </w:r>
          </w:p>
        </w:tc>
        <w:tc>
          <w:tcPr>
            <w:tcW w:w="1755" w:type="dxa"/>
            <w:noWrap w:val="0"/>
            <w:vAlign w:val="center"/>
          </w:tcPr>
          <w:p w14:paraId="5A4AA9A7">
            <w:pPr>
              <w:pStyle w:val="27"/>
              <w:ind w:firstLine="0" w:firstLineChars="0"/>
              <w:jc w:val="left"/>
              <w:rPr>
                <w:rFonts w:ascii="Times New Roman"/>
                <w:sz w:val="20"/>
                <w:szCs w:val="16"/>
                <w:lang w:val="en-US" w:eastAsia="zh-CN" w:bidi="ar-SA"/>
              </w:rPr>
            </w:pPr>
            <w:r>
              <w:rPr>
                <w:rFonts w:ascii="Times New Roman"/>
                <w:sz w:val="20"/>
                <w:szCs w:val="16"/>
              </w:rPr>
              <w:t>可使用次级数据</w:t>
            </w:r>
          </w:p>
        </w:tc>
      </w:tr>
      <w:tr w14:paraId="62102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10" w:type="dxa"/>
            <w:vMerge w:val="continue"/>
            <w:noWrap w:val="0"/>
            <w:vAlign w:val="center"/>
          </w:tcPr>
          <w:p w14:paraId="476B9D3A">
            <w:pPr>
              <w:pStyle w:val="27"/>
              <w:ind w:firstLine="0" w:firstLineChars="0"/>
              <w:jc w:val="center"/>
              <w:rPr>
                <w:rFonts w:ascii="Times New Roman"/>
                <w:sz w:val="20"/>
                <w:szCs w:val="20"/>
              </w:rPr>
            </w:pPr>
          </w:p>
        </w:tc>
        <w:tc>
          <w:tcPr>
            <w:tcW w:w="6305" w:type="dxa"/>
            <w:noWrap w:val="0"/>
            <w:vAlign w:val="center"/>
          </w:tcPr>
          <w:p w14:paraId="5975CE2A">
            <w:pPr>
              <w:pStyle w:val="27"/>
              <w:numPr>
                <w:ilvl w:val="0"/>
                <w:numId w:val="0"/>
              </w:numPr>
              <w:tabs>
                <w:tab w:val="center" w:pos="420"/>
              </w:tabs>
              <w:ind w:left="0" w:leftChars="0" w:firstLine="0" w:firstLineChars="0"/>
              <w:jc w:val="left"/>
              <w:rPr>
                <w:rFonts w:hint="eastAsia" w:ascii="Times New Roman" w:eastAsia="宋体"/>
                <w:sz w:val="20"/>
                <w:szCs w:val="20"/>
                <w:highlight w:val="none"/>
                <w:lang w:val="en-US" w:eastAsia="zh-CN" w:bidi="ar-SA"/>
              </w:rPr>
            </w:pPr>
            <w:r>
              <w:rPr>
                <w:rFonts w:ascii="Times New Roman"/>
                <w:sz w:val="20"/>
                <w:szCs w:val="20"/>
                <w:highlight w:val="none"/>
              </w:rPr>
              <w:t>不同运输方式的温室气体排放因子</w:t>
            </w:r>
            <w:r>
              <w:rPr>
                <w:rFonts w:hint="eastAsia" w:ascii="Times New Roman"/>
                <w:sz w:val="20"/>
                <w:szCs w:val="20"/>
                <w:highlight w:val="none"/>
                <w:lang w:eastAsia="zh-CN"/>
              </w:rPr>
              <w:t>；</w:t>
            </w:r>
          </w:p>
        </w:tc>
        <w:tc>
          <w:tcPr>
            <w:tcW w:w="1755" w:type="dxa"/>
            <w:noWrap w:val="0"/>
            <w:vAlign w:val="center"/>
          </w:tcPr>
          <w:p w14:paraId="65D8C375">
            <w:pPr>
              <w:pStyle w:val="27"/>
              <w:ind w:firstLine="0" w:firstLineChars="0"/>
              <w:jc w:val="left"/>
              <w:rPr>
                <w:rFonts w:ascii="Times New Roman"/>
                <w:sz w:val="20"/>
                <w:szCs w:val="16"/>
                <w:highlight w:val="none"/>
                <w:lang w:val="en-US" w:eastAsia="zh-CN" w:bidi="ar-SA"/>
              </w:rPr>
            </w:pPr>
            <w:r>
              <w:rPr>
                <w:rFonts w:ascii="Times New Roman"/>
                <w:sz w:val="20"/>
                <w:szCs w:val="20"/>
                <w:highlight w:val="none"/>
              </w:rPr>
              <w:t>可使用次级数据</w:t>
            </w:r>
          </w:p>
        </w:tc>
      </w:tr>
      <w:tr w14:paraId="0FBCB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10" w:type="dxa"/>
            <w:vMerge w:val="continue"/>
            <w:noWrap w:val="0"/>
            <w:vAlign w:val="center"/>
          </w:tcPr>
          <w:p w14:paraId="32A72E8C">
            <w:pPr>
              <w:pStyle w:val="27"/>
              <w:ind w:firstLine="0" w:firstLineChars="0"/>
              <w:jc w:val="center"/>
              <w:rPr>
                <w:rFonts w:ascii="Times New Roman"/>
                <w:sz w:val="20"/>
                <w:szCs w:val="20"/>
              </w:rPr>
            </w:pPr>
          </w:p>
        </w:tc>
        <w:tc>
          <w:tcPr>
            <w:tcW w:w="6305" w:type="dxa"/>
            <w:noWrap w:val="0"/>
            <w:vAlign w:val="center"/>
          </w:tcPr>
          <w:p w14:paraId="7CBE1A24">
            <w:pPr>
              <w:pStyle w:val="27"/>
              <w:tabs>
                <w:tab w:val="center" w:pos="420"/>
              </w:tabs>
              <w:ind w:firstLine="0" w:firstLineChars="0"/>
              <w:jc w:val="left"/>
              <w:rPr>
                <w:rFonts w:hint="eastAsia" w:ascii="Times New Roman"/>
                <w:sz w:val="20"/>
                <w:szCs w:val="20"/>
                <w:lang w:val="en-US" w:eastAsia="zh-CN" w:bidi="ar-SA"/>
              </w:rPr>
            </w:pPr>
            <w:r>
              <w:rPr>
                <w:rFonts w:ascii="Times New Roman"/>
                <w:sz w:val="20"/>
                <w:szCs w:val="20"/>
              </w:rPr>
              <w:t>填埋等处置方式的处置量；</w:t>
            </w:r>
          </w:p>
        </w:tc>
        <w:tc>
          <w:tcPr>
            <w:tcW w:w="1755" w:type="dxa"/>
            <w:noWrap w:val="0"/>
            <w:vAlign w:val="center"/>
          </w:tcPr>
          <w:p w14:paraId="32ECA7C9">
            <w:pPr>
              <w:pStyle w:val="27"/>
              <w:ind w:firstLine="0" w:firstLineChars="0"/>
              <w:jc w:val="left"/>
              <w:rPr>
                <w:rFonts w:ascii="Times New Roman"/>
                <w:sz w:val="20"/>
                <w:szCs w:val="16"/>
                <w:lang w:val="en-US" w:eastAsia="zh-CN" w:bidi="ar-SA"/>
              </w:rPr>
            </w:pPr>
            <w:r>
              <w:rPr>
                <w:rFonts w:ascii="Times New Roman"/>
                <w:sz w:val="20"/>
                <w:szCs w:val="16"/>
              </w:rPr>
              <w:t>可使用次级数据</w:t>
            </w:r>
          </w:p>
        </w:tc>
      </w:tr>
      <w:tr w14:paraId="62F2B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10" w:type="dxa"/>
            <w:vMerge w:val="continue"/>
            <w:noWrap w:val="0"/>
            <w:vAlign w:val="top"/>
          </w:tcPr>
          <w:p w14:paraId="0EB72B14">
            <w:pPr>
              <w:pStyle w:val="27"/>
              <w:ind w:firstLine="0" w:firstLineChars="0"/>
              <w:jc w:val="center"/>
              <w:rPr>
                <w:rFonts w:ascii="Times New Roman"/>
                <w:sz w:val="20"/>
                <w:szCs w:val="20"/>
              </w:rPr>
            </w:pPr>
          </w:p>
        </w:tc>
        <w:tc>
          <w:tcPr>
            <w:tcW w:w="6305" w:type="dxa"/>
            <w:noWrap w:val="0"/>
            <w:vAlign w:val="center"/>
          </w:tcPr>
          <w:p w14:paraId="791D297A">
            <w:pPr>
              <w:pStyle w:val="27"/>
              <w:tabs>
                <w:tab w:val="center" w:pos="420"/>
              </w:tabs>
              <w:ind w:firstLine="0" w:firstLineChars="0"/>
              <w:jc w:val="left"/>
              <w:rPr>
                <w:rFonts w:hint="eastAsia" w:ascii="Times New Roman"/>
                <w:sz w:val="20"/>
                <w:szCs w:val="20"/>
                <w:lang w:val="en-US" w:eastAsia="zh-CN" w:bidi="ar-SA"/>
              </w:rPr>
            </w:pPr>
            <w:r>
              <w:rPr>
                <w:rFonts w:ascii="Times New Roman"/>
                <w:sz w:val="20"/>
                <w:szCs w:val="20"/>
              </w:rPr>
              <w:t>填埋等处置方式的排放因子；</w:t>
            </w:r>
          </w:p>
        </w:tc>
        <w:tc>
          <w:tcPr>
            <w:tcW w:w="1755" w:type="dxa"/>
            <w:noWrap w:val="0"/>
            <w:vAlign w:val="center"/>
          </w:tcPr>
          <w:p w14:paraId="1B23F7E6">
            <w:pPr>
              <w:pStyle w:val="27"/>
              <w:ind w:firstLine="0" w:firstLineChars="0"/>
              <w:jc w:val="left"/>
              <w:rPr>
                <w:rFonts w:ascii="Times New Roman"/>
                <w:sz w:val="20"/>
                <w:szCs w:val="16"/>
                <w:lang w:val="en-US" w:eastAsia="zh-CN" w:bidi="ar-SA"/>
              </w:rPr>
            </w:pPr>
            <w:r>
              <w:rPr>
                <w:rFonts w:ascii="Times New Roman"/>
                <w:sz w:val="20"/>
                <w:szCs w:val="16"/>
              </w:rPr>
              <w:t>可使用次级数据</w:t>
            </w:r>
          </w:p>
        </w:tc>
      </w:tr>
      <w:tr w14:paraId="6A889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10" w:type="dxa"/>
            <w:vMerge w:val="continue"/>
            <w:noWrap w:val="0"/>
            <w:vAlign w:val="top"/>
          </w:tcPr>
          <w:p w14:paraId="3817912E">
            <w:pPr>
              <w:pStyle w:val="27"/>
              <w:ind w:firstLine="0" w:firstLineChars="0"/>
              <w:jc w:val="center"/>
              <w:rPr>
                <w:rFonts w:ascii="Times New Roman"/>
                <w:sz w:val="20"/>
                <w:szCs w:val="20"/>
              </w:rPr>
            </w:pPr>
          </w:p>
        </w:tc>
        <w:tc>
          <w:tcPr>
            <w:tcW w:w="6305" w:type="dxa"/>
            <w:noWrap w:val="0"/>
            <w:vAlign w:val="center"/>
          </w:tcPr>
          <w:p w14:paraId="23FBE30D">
            <w:pPr>
              <w:pStyle w:val="27"/>
              <w:tabs>
                <w:tab w:val="center" w:pos="420"/>
              </w:tabs>
              <w:ind w:firstLine="0" w:firstLineChars="0"/>
              <w:jc w:val="left"/>
              <w:rPr>
                <w:rFonts w:hint="eastAsia" w:ascii="Times New Roman" w:eastAsia="宋体"/>
                <w:sz w:val="20"/>
                <w:szCs w:val="16"/>
                <w:lang w:val="en-US" w:eastAsia="zh-CN" w:bidi="ar-SA"/>
              </w:rPr>
            </w:pPr>
            <w:r>
              <w:rPr>
                <w:rFonts w:hint="eastAsia" w:ascii="Times New Roman"/>
                <w:sz w:val="20"/>
                <w:szCs w:val="20"/>
              </w:rPr>
              <w:t>再生产品的循环量、循环方式及其温室气体排放因子</w:t>
            </w:r>
            <w:r>
              <w:rPr>
                <w:rFonts w:hint="eastAsia" w:ascii="Times New Roman"/>
                <w:sz w:val="20"/>
                <w:szCs w:val="20"/>
                <w:lang w:eastAsia="zh-CN"/>
              </w:rPr>
              <w:t>。</w:t>
            </w:r>
          </w:p>
        </w:tc>
        <w:tc>
          <w:tcPr>
            <w:tcW w:w="1755" w:type="dxa"/>
            <w:noWrap w:val="0"/>
            <w:vAlign w:val="center"/>
          </w:tcPr>
          <w:p w14:paraId="490B3E5D">
            <w:pPr>
              <w:jc w:val="left"/>
              <w:rPr>
                <w:rFonts w:ascii="宋体"/>
                <w:kern w:val="2"/>
                <w:sz w:val="20"/>
                <w:szCs w:val="16"/>
                <w:lang w:val="en-US" w:eastAsia="zh-CN" w:bidi="ar-SA"/>
              </w:rPr>
            </w:pPr>
            <w:r>
              <w:rPr>
                <w:rFonts w:ascii="宋体"/>
                <w:sz w:val="20"/>
                <w:szCs w:val="22"/>
              </w:rPr>
              <w:t>可使用次级数据</w:t>
            </w:r>
          </w:p>
        </w:tc>
      </w:tr>
    </w:tbl>
    <w:p w14:paraId="29DD09C2">
      <w:pPr>
        <w:pStyle w:val="47"/>
        <w:numPr>
          <w:ilvl w:val="1"/>
          <w:numId w:val="11"/>
        </w:numPr>
        <w:adjustRightInd w:val="0"/>
        <w:snapToGrid w:val="0"/>
        <w:spacing w:before="120" w:after="120" w:line="360" w:lineRule="exact"/>
        <w:ind w:left="420" w:hanging="420" w:hangingChars="200"/>
        <w:jc w:val="both"/>
        <w:outlineLvl w:val="1"/>
        <w:rPr>
          <w:rFonts w:hint="default" w:ascii="Times New Roman"/>
          <w:color w:val="000000"/>
          <w:szCs w:val="21"/>
        </w:rPr>
      </w:pPr>
      <w:r>
        <w:rPr>
          <w:rFonts w:ascii="Times New Roman"/>
          <w:color w:val="000000"/>
        </w:rPr>
        <w:t>数据质量要求</w:t>
      </w:r>
    </w:p>
    <w:p w14:paraId="1AEA0E5C">
      <w:pPr>
        <w:pStyle w:val="47"/>
        <w:numPr>
          <w:ilvl w:val="2"/>
          <w:numId w:val="11"/>
        </w:numPr>
        <w:adjustRightInd w:val="0"/>
        <w:snapToGrid w:val="0"/>
        <w:spacing w:beforeLines="0" w:afterLines="0" w:line="360" w:lineRule="exact"/>
        <w:ind w:left="0" w:firstLine="0"/>
        <w:jc w:val="both"/>
        <w:outlineLvl w:val="9"/>
        <w:rPr>
          <w:rFonts w:ascii="Times New Roman" w:eastAsia="宋体"/>
        </w:rPr>
      </w:pPr>
      <w:r>
        <w:rPr>
          <w:rFonts w:ascii="Times New Roman" w:eastAsia="宋体"/>
        </w:rPr>
        <w:t>初级数据</w:t>
      </w:r>
      <w:r>
        <w:rPr>
          <w:rFonts w:hint="eastAsia" w:ascii="Times New Roman" w:hAnsi="Times New Roman" w:eastAsia="宋体" w:cs="Times New Roman"/>
        </w:rPr>
        <w:t>采集质量应满足以下要求</w:t>
      </w:r>
      <w:r>
        <w:rPr>
          <w:rFonts w:ascii="Times New Roman" w:eastAsia="宋体"/>
        </w:rPr>
        <w:t>：</w:t>
      </w:r>
    </w:p>
    <w:p w14:paraId="7A99E97F">
      <w:pPr>
        <w:pStyle w:val="152"/>
        <w:numPr>
          <w:ilvl w:val="0"/>
          <w:numId w:val="19"/>
        </w:numPr>
        <w:spacing w:line="276" w:lineRule="auto"/>
        <w:ind w:left="0" w:firstLine="420"/>
        <w:rPr>
          <w:rFonts w:ascii="Times New Roman" w:hAnsi="Times New Roman" w:eastAsia="宋体" w:cs="Times New Roman"/>
          <w:szCs w:val="21"/>
          <w:highlight w:val="none"/>
        </w:rPr>
      </w:pPr>
      <w:r>
        <w:rPr>
          <w:rFonts w:ascii="Times New Roman" w:hAnsi="Times New Roman" w:eastAsia="宋体" w:cs="Times New Roman"/>
          <w:szCs w:val="21"/>
          <w:highlight w:val="none"/>
        </w:rPr>
        <w:t>完整性。</w:t>
      </w:r>
      <w:r>
        <w:rPr>
          <w:rFonts w:ascii="Times New Roman" w:hAnsi="Times New Roman" w:eastAsia="宋体" w:cs="Times New Roman"/>
          <w:szCs w:val="21"/>
        </w:rPr>
        <w:t>根据数据取舍准</w:t>
      </w:r>
      <w:r>
        <w:rPr>
          <w:rFonts w:ascii="Times New Roman" w:hAnsi="Times New Roman" w:eastAsia="宋体" w:cs="Times New Roman"/>
          <w:szCs w:val="21"/>
          <w:highlight w:val="none"/>
        </w:rPr>
        <w:t>则（5.5）的</w:t>
      </w:r>
      <w:r>
        <w:rPr>
          <w:rFonts w:ascii="Times New Roman" w:hAnsi="Times New Roman" w:eastAsia="宋体" w:cs="Times New Roman"/>
          <w:szCs w:val="21"/>
        </w:rPr>
        <w:t>要求，</w:t>
      </w:r>
      <w:r>
        <w:rPr>
          <w:rFonts w:ascii="Times New Roman" w:hAnsi="Times New Roman" w:eastAsia="宋体" w:cs="Times New Roman"/>
        </w:rPr>
        <w:t>检查是否有缺失的单元过程或输入输出物质。</w:t>
      </w:r>
      <w:r>
        <w:rPr>
          <w:rFonts w:ascii="Times New Roman" w:hAnsi="Times New Roman" w:eastAsia="宋体" w:cs="Times New Roman"/>
          <w:szCs w:val="21"/>
        </w:rPr>
        <w:t>初级数据宜采集企业一个自然年</w:t>
      </w:r>
      <w:r>
        <w:rPr>
          <w:rFonts w:hint="eastAsia" w:ascii="Times New Roman" w:hAnsi="Times New Roman" w:eastAsia="宋体" w:cs="Times New Roman"/>
          <w:szCs w:val="21"/>
          <w:highlight w:val="none"/>
          <w:lang w:val="en-US" w:eastAsia="zh-CN"/>
        </w:rPr>
        <w:t>或连续12个月</w:t>
      </w:r>
      <w:r>
        <w:rPr>
          <w:rFonts w:ascii="Times New Roman" w:hAnsi="Times New Roman" w:eastAsia="宋体" w:cs="Times New Roman"/>
          <w:szCs w:val="21"/>
        </w:rPr>
        <w:t>内的生产统计数据，特殊情况下可根据企业实际运营情况予以确定</w:t>
      </w:r>
      <w:r>
        <w:rPr>
          <w:rFonts w:ascii="Times New Roman" w:hAnsi="Times New Roman" w:eastAsia="宋体" w:cs="Times New Roman"/>
          <w:highlight w:val="none"/>
        </w:rPr>
        <w:t>；</w:t>
      </w:r>
    </w:p>
    <w:p w14:paraId="44F98078">
      <w:pPr>
        <w:pStyle w:val="152"/>
        <w:numPr>
          <w:ilvl w:val="0"/>
          <w:numId w:val="19"/>
        </w:numPr>
        <w:spacing w:line="276" w:lineRule="auto"/>
        <w:ind w:left="0" w:firstLine="420"/>
        <w:rPr>
          <w:rFonts w:ascii="Times New Roman" w:hAnsi="Times New Roman" w:eastAsia="宋体" w:cs="Times New Roman"/>
          <w:szCs w:val="21"/>
          <w:highlight w:val="none"/>
        </w:rPr>
      </w:pPr>
      <w:r>
        <w:rPr>
          <w:rFonts w:ascii="Times New Roman" w:hAnsi="Times New Roman" w:eastAsia="宋体" w:cs="Times New Roman"/>
          <w:szCs w:val="21"/>
          <w:highlight w:val="none"/>
        </w:rPr>
        <w:t>准确性。初</w:t>
      </w:r>
      <w:r>
        <w:rPr>
          <w:rFonts w:ascii="Times New Roman" w:hAnsi="Times New Roman" w:eastAsia="宋体" w:cs="Times New Roman"/>
          <w:szCs w:val="21"/>
        </w:rPr>
        <w:t>初级数据中的能源、原料消耗数据应来自企业实际生产统计记录，能源和原料获取数据优先来自上游供应商；碳排放数据优先选择核查报告，或由排放因子或物料平衡公式计算获得。所有初级数据均应转换为以功能单位为基准，且应详细记录相关的初级数据、数据来源、计算过程等</w:t>
      </w:r>
      <w:r>
        <w:rPr>
          <w:rFonts w:ascii="Times New Roman" w:hAnsi="Times New Roman" w:eastAsia="宋体" w:cs="Times New Roman"/>
          <w:szCs w:val="21"/>
          <w:highlight w:val="none"/>
        </w:rPr>
        <w:t>；</w:t>
      </w:r>
    </w:p>
    <w:p w14:paraId="06210702">
      <w:pPr>
        <w:pStyle w:val="152"/>
        <w:numPr>
          <w:ilvl w:val="0"/>
          <w:numId w:val="19"/>
        </w:numPr>
        <w:spacing w:line="276" w:lineRule="auto"/>
        <w:ind w:left="0" w:firstLine="420"/>
        <w:rPr>
          <w:rFonts w:ascii="Times New Roman" w:hAnsi="Times New Roman" w:eastAsia="宋体" w:cs="Times New Roman"/>
          <w:szCs w:val="21"/>
          <w:highlight w:val="none"/>
        </w:rPr>
      </w:pPr>
      <w:r>
        <w:rPr>
          <w:rFonts w:ascii="Times New Roman" w:hAnsi="Times New Roman" w:eastAsia="宋体" w:cs="Times New Roman"/>
          <w:szCs w:val="21"/>
          <w:highlight w:val="none"/>
        </w:rPr>
        <w:t>一致性。</w:t>
      </w:r>
      <w:r>
        <w:rPr>
          <w:rFonts w:ascii="Times New Roman" w:hAnsi="Times New Roman" w:eastAsia="宋体" w:cs="Times New Roman"/>
          <w:szCs w:val="21"/>
        </w:rPr>
        <w:t>初级数据采集时同类数据应保持相同的数据来源、统计口径、处理规则等</w:t>
      </w:r>
      <w:r>
        <w:rPr>
          <w:rFonts w:ascii="Times New Roman" w:hAnsi="Times New Roman" w:eastAsia="宋体" w:cs="Times New Roman"/>
          <w:szCs w:val="21"/>
          <w:highlight w:val="none"/>
        </w:rPr>
        <w:t>。</w:t>
      </w:r>
    </w:p>
    <w:p w14:paraId="449A48A1">
      <w:pPr>
        <w:pStyle w:val="47"/>
        <w:numPr>
          <w:ilvl w:val="2"/>
          <w:numId w:val="11"/>
        </w:numPr>
        <w:adjustRightInd w:val="0"/>
        <w:snapToGrid w:val="0"/>
        <w:spacing w:beforeLines="0" w:afterLines="0" w:line="360" w:lineRule="exact"/>
        <w:ind w:left="0" w:firstLine="0"/>
        <w:jc w:val="both"/>
        <w:outlineLvl w:val="9"/>
        <w:rPr>
          <w:rFonts w:ascii="Times New Roman" w:eastAsia="宋体"/>
        </w:rPr>
      </w:pPr>
      <w:r>
        <w:rPr>
          <w:rFonts w:ascii="Times New Roman" w:eastAsia="宋体"/>
        </w:rPr>
        <w:t>次级数据</w:t>
      </w:r>
      <w:r>
        <w:rPr>
          <w:rFonts w:hint="eastAsia" w:ascii="Times New Roman" w:hAnsi="Times New Roman" w:eastAsia="宋体" w:cs="Times New Roman"/>
        </w:rPr>
        <w:t>采集质量应满足以下要求</w:t>
      </w:r>
      <w:r>
        <w:rPr>
          <w:rFonts w:ascii="Times New Roman" w:eastAsia="宋体"/>
        </w:rPr>
        <w:t>：</w:t>
      </w:r>
    </w:p>
    <w:p w14:paraId="52340442">
      <w:pPr>
        <w:pStyle w:val="152"/>
        <w:numPr>
          <w:ilvl w:val="0"/>
          <w:numId w:val="20"/>
        </w:numPr>
        <w:spacing w:line="276" w:lineRule="auto"/>
        <w:ind w:firstLine="420"/>
        <w:rPr>
          <w:rFonts w:ascii="Times New Roman" w:hAnsi="Times New Roman" w:eastAsia="宋体" w:cs="Times New Roman"/>
          <w:szCs w:val="21"/>
          <w:highlight w:val="none"/>
        </w:rPr>
      </w:pPr>
      <w:r>
        <w:rPr>
          <w:rFonts w:ascii="Times New Roman" w:hAnsi="Times New Roman" w:eastAsia="宋体" w:cs="Times New Roman"/>
          <w:szCs w:val="21"/>
          <w:highlight w:val="none"/>
        </w:rPr>
        <w:t>代表性。</w:t>
      </w:r>
      <w:r>
        <w:rPr>
          <w:rFonts w:ascii="Times New Roman" w:hAnsi="Times New Roman" w:eastAsia="宋体" w:cs="Times New Roman"/>
          <w:szCs w:val="21"/>
        </w:rPr>
        <w:t>优先选择与评估产品系统的时间代表性、区域代表性、技术代表性相近的数据，其次选择近年代表国内及行业平均生产水平公开的生命周期评价数据，最后选择国外同类技术数据</w:t>
      </w:r>
      <w:r>
        <w:rPr>
          <w:rFonts w:ascii="Times New Roman" w:hAnsi="Times New Roman" w:eastAsia="宋体" w:cs="Times New Roman"/>
          <w:szCs w:val="21"/>
          <w:highlight w:val="none"/>
        </w:rPr>
        <w:t>；</w:t>
      </w:r>
    </w:p>
    <w:p w14:paraId="0C9EE057">
      <w:pPr>
        <w:pStyle w:val="152"/>
        <w:numPr>
          <w:ilvl w:val="0"/>
          <w:numId w:val="20"/>
        </w:numPr>
        <w:spacing w:line="276" w:lineRule="auto"/>
        <w:ind w:firstLine="420"/>
        <w:rPr>
          <w:rFonts w:ascii="Times New Roman" w:hAnsi="Times New Roman" w:eastAsia="宋体" w:cs="Times New Roman"/>
          <w:szCs w:val="21"/>
          <w:highlight w:val="none"/>
        </w:rPr>
      </w:pPr>
      <w:r>
        <w:rPr>
          <w:rFonts w:ascii="Times New Roman" w:hAnsi="Times New Roman" w:eastAsia="宋体" w:cs="Times New Roman"/>
          <w:szCs w:val="21"/>
          <w:highlight w:val="none"/>
        </w:rPr>
        <w:t>完整性。</w:t>
      </w:r>
      <w:r>
        <w:rPr>
          <w:rFonts w:ascii="Times New Roman" w:hAnsi="Times New Roman" w:eastAsia="宋体" w:cs="Times New Roman"/>
          <w:szCs w:val="21"/>
        </w:rPr>
        <w:t>应涵盖系统边界规定的所有单元过程</w:t>
      </w:r>
      <w:r>
        <w:rPr>
          <w:rFonts w:ascii="Times New Roman" w:hAnsi="Times New Roman" w:eastAsia="宋体" w:cs="Times New Roman"/>
          <w:szCs w:val="21"/>
          <w:highlight w:val="none"/>
        </w:rPr>
        <w:t>；</w:t>
      </w:r>
    </w:p>
    <w:p w14:paraId="6D891909">
      <w:pPr>
        <w:pStyle w:val="152"/>
        <w:numPr>
          <w:ilvl w:val="0"/>
          <w:numId w:val="20"/>
        </w:numPr>
        <w:spacing w:line="276" w:lineRule="auto"/>
        <w:ind w:firstLine="420"/>
        <w:rPr>
          <w:rFonts w:ascii="Times New Roman" w:hAnsi="Times New Roman" w:eastAsia="宋体" w:cs="Times New Roman"/>
          <w:szCs w:val="21"/>
          <w:highlight w:val="none"/>
        </w:rPr>
      </w:pPr>
      <w:r>
        <w:rPr>
          <w:rFonts w:ascii="Times New Roman" w:hAnsi="Times New Roman" w:eastAsia="宋体" w:cs="Times New Roman"/>
          <w:szCs w:val="21"/>
          <w:highlight w:val="none"/>
        </w:rPr>
        <w:t>一致性。</w:t>
      </w:r>
      <w:r>
        <w:rPr>
          <w:rFonts w:ascii="Times New Roman" w:hAnsi="Times New Roman" w:eastAsia="宋体" w:cs="Times New Roman"/>
          <w:szCs w:val="21"/>
        </w:rPr>
        <w:t>同一机构对同类产品次级数据的选择应保持一致</w:t>
      </w:r>
      <w:r>
        <w:rPr>
          <w:rFonts w:ascii="Times New Roman" w:hAnsi="Times New Roman" w:eastAsia="宋体" w:cs="Times New Roman"/>
          <w:szCs w:val="21"/>
          <w:highlight w:val="none"/>
        </w:rPr>
        <w:t>。</w:t>
      </w:r>
    </w:p>
    <w:p w14:paraId="48BF57FD">
      <w:pPr>
        <w:pStyle w:val="47"/>
        <w:numPr>
          <w:ilvl w:val="1"/>
          <w:numId w:val="11"/>
        </w:numPr>
        <w:adjustRightInd w:val="0"/>
        <w:snapToGrid w:val="0"/>
        <w:spacing w:before="120" w:after="120" w:line="360" w:lineRule="exact"/>
        <w:ind w:left="420" w:hanging="420" w:hangingChars="200"/>
        <w:jc w:val="both"/>
        <w:outlineLvl w:val="1"/>
        <w:rPr>
          <w:rFonts w:ascii="Times New Roman"/>
          <w:color w:val="000000"/>
        </w:rPr>
      </w:pPr>
      <w:r>
        <w:rPr>
          <w:rFonts w:ascii="Times New Roman"/>
          <w:color w:val="000000"/>
        </w:rPr>
        <w:t>数据审定</w:t>
      </w:r>
    </w:p>
    <w:p w14:paraId="7ED80A75">
      <w:pPr>
        <w:pStyle w:val="27"/>
        <w:spacing w:line="276" w:lineRule="auto"/>
        <w:rPr>
          <w:rFonts w:ascii="Times New Roman"/>
          <w:szCs w:val="21"/>
          <w:highlight w:val="none"/>
        </w:rPr>
      </w:pPr>
      <w:r>
        <w:rPr>
          <w:rFonts w:ascii="Times New Roman"/>
          <w:highlight w:val="none"/>
        </w:rPr>
        <w:t>数据采集过程中，应验证数据的有效性，</w:t>
      </w:r>
      <w:r>
        <w:rPr>
          <w:rFonts w:ascii="Times New Roman"/>
          <w:szCs w:val="21"/>
          <w:highlight w:val="none"/>
        </w:rPr>
        <w:t>通过物料平衡、能量平衡、与历史数据和相近工艺数据对比等方式，确认数据的准确性与合理性。对于异常数据，应分析原因，予以替换，替换的数据应满足数据质量要求（6.2）。</w:t>
      </w:r>
    </w:p>
    <w:p w14:paraId="5DB6E02C">
      <w:pPr>
        <w:pStyle w:val="47"/>
        <w:numPr>
          <w:ilvl w:val="1"/>
          <w:numId w:val="11"/>
        </w:numPr>
        <w:adjustRightInd w:val="0"/>
        <w:snapToGrid w:val="0"/>
        <w:spacing w:before="120" w:after="120" w:line="360" w:lineRule="exact"/>
        <w:ind w:left="420" w:hanging="420" w:hangingChars="200"/>
        <w:jc w:val="both"/>
        <w:outlineLvl w:val="1"/>
        <w:rPr>
          <w:rFonts w:ascii="Times New Roman"/>
          <w:color w:val="000000"/>
        </w:rPr>
      </w:pPr>
      <w:r>
        <w:rPr>
          <w:rFonts w:ascii="Times New Roman"/>
          <w:color w:val="000000"/>
        </w:rPr>
        <w:t>分配</w:t>
      </w:r>
    </w:p>
    <w:p w14:paraId="27578704">
      <w:pPr>
        <w:pStyle w:val="47"/>
        <w:numPr>
          <w:ilvl w:val="2"/>
          <w:numId w:val="11"/>
        </w:numPr>
        <w:adjustRightInd w:val="0"/>
        <w:snapToGrid w:val="0"/>
        <w:spacing w:beforeLines="0" w:afterLines="0" w:line="360" w:lineRule="exact"/>
        <w:ind w:left="0" w:firstLine="0"/>
        <w:jc w:val="both"/>
        <w:outlineLvl w:val="9"/>
        <w:rPr>
          <w:rFonts w:ascii="Times New Roman" w:eastAsia="宋体"/>
        </w:rPr>
      </w:pPr>
      <w:r>
        <w:rPr>
          <w:rFonts w:ascii="Times New Roman" w:eastAsia="宋体"/>
        </w:rPr>
        <w:t>在系统边界设置或数据采集时，若发现至少有一个单元过程的输入和输出包含多个产品，则需要进行分配。</w:t>
      </w:r>
    </w:p>
    <w:p w14:paraId="2A1486D5">
      <w:pPr>
        <w:pStyle w:val="47"/>
        <w:numPr>
          <w:ilvl w:val="2"/>
          <w:numId w:val="11"/>
        </w:numPr>
        <w:adjustRightInd w:val="0"/>
        <w:snapToGrid w:val="0"/>
        <w:spacing w:beforeLines="0" w:afterLines="0" w:line="360" w:lineRule="exact"/>
        <w:ind w:left="0" w:firstLine="0"/>
        <w:jc w:val="both"/>
        <w:outlineLvl w:val="9"/>
        <w:rPr>
          <w:rFonts w:ascii="Times New Roman" w:eastAsia="宋体"/>
        </w:rPr>
      </w:pPr>
      <w:r>
        <w:rPr>
          <w:rFonts w:ascii="Times New Roman" w:eastAsia="宋体"/>
        </w:rPr>
        <w:t>分配</w:t>
      </w:r>
      <w:r>
        <w:rPr>
          <w:rFonts w:hint="default" w:ascii="Times New Roman" w:eastAsia="宋体"/>
          <w:lang w:val="en-US" w:eastAsia="zh-CN"/>
        </w:rPr>
        <w:t>方法</w:t>
      </w:r>
      <w:r>
        <w:rPr>
          <w:rFonts w:ascii="Times New Roman" w:eastAsia="宋体"/>
        </w:rPr>
        <w:t>如下：</w:t>
      </w:r>
    </w:p>
    <w:p w14:paraId="473BB326">
      <w:pPr>
        <w:pStyle w:val="152"/>
        <w:numPr>
          <w:ilvl w:val="0"/>
          <w:numId w:val="21"/>
        </w:numPr>
        <w:spacing w:line="276" w:lineRule="auto"/>
        <w:ind w:firstLineChars="0"/>
        <w:rPr>
          <w:rFonts w:ascii="Times New Roman" w:hAnsi="Times New Roman" w:eastAsia="宋体" w:cs="Times New Roman"/>
          <w:szCs w:val="21"/>
          <w:highlight w:val="none"/>
        </w:rPr>
      </w:pPr>
      <w:r>
        <w:rPr>
          <w:rFonts w:ascii="Times New Roman" w:hAnsi="Times New Roman" w:eastAsia="宋体" w:cs="Times New Roman"/>
          <w:szCs w:val="21"/>
          <w:highlight w:val="none"/>
        </w:rPr>
        <w:t>优先</w:t>
      </w:r>
      <w:r>
        <w:rPr>
          <w:rFonts w:hint="eastAsia" w:ascii="Times New Roman" w:hAnsi="Times New Roman" w:eastAsia="宋体" w:cs="Times New Roman"/>
          <w:szCs w:val="21"/>
          <w:highlight w:val="none"/>
          <w:lang w:val="en-US" w:eastAsia="zh-CN"/>
        </w:rPr>
        <w:t>采集</w:t>
      </w:r>
      <w:r>
        <w:rPr>
          <w:rFonts w:ascii="Times New Roman" w:hAnsi="Times New Roman" w:eastAsia="宋体" w:cs="Times New Roman"/>
          <w:szCs w:val="21"/>
          <w:highlight w:val="none"/>
        </w:rPr>
        <w:t>细分单元过程避免数据分配</w:t>
      </w:r>
      <w:r>
        <w:rPr>
          <w:rFonts w:hint="eastAsia" w:ascii="Times New Roman" w:hAnsi="Times New Roman" w:eastAsia="宋体" w:cs="Times New Roman"/>
          <w:szCs w:val="21"/>
          <w:highlight w:val="none"/>
          <w:lang w:eastAsia="zh-CN"/>
        </w:rPr>
        <w:t>，</w:t>
      </w:r>
      <w:r>
        <w:rPr>
          <w:rFonts w:hint="eastAsia" w:ascii="Times New Roman" w:hAnsi="Times New Roman" w:eastAsia="宋体" w:cs="Times New Roman"/>
          <w:szCs w:val="21"/>
          <w:highlight w:val="none"/>
          <w:lang w:val="en-US" w:eastAsia="zh-CN"/>
        </w:rPr>
        <w:t>如优先采集各设施、各时间段数据；</w:t>
      </w:r>
    </w:p>
    <w:p w14:paraId="6662F463">
      <w:pPr>
        <w:pStyle w:val="152"/>
        <w:numPr>
          <w:ilvl w:val="0"/>
          <w:numId w:val="21"/>
        </w:numPr>
        <w:spacing w:line="276" w:lineRule="auto"/>
        <w:ind w:firstLineChars="0"/>
        <w:rPr>
          <w:rFonts w:ascii="Times New Roman" w:hAnsi="Times New Roman" w:eastAsia="宋体" w:cs="Times New Roman"/>
          <w:szCs w:val="21"/>
          <w:highlight w:val="none"/>
        </w:rPr>
      </w:pPr>
      <w:r>
        <w:rPr>
          <w:rFonts w:hint="eastAsia" w:ascii="Times New Roman" w:hAnsi="Times New Roman" w:eastAsia="宋体" w:cs="Times New Roman"/>
          <w:szCs w:val="21"/>
          <w:highlight w:val="none"/>
        </w:rPr>
        <w:t>若数据分配无法避免，则</w:t>
      </w:r>
      <w:r>
        <w:rPr>
          <w:rFonts w:hint="eastAsia" w:ascii="Times New Roman" w:hAnsi="Times New Roman" w:eastAsia="宋体" w:cs="Times New Roman"/>
          <w:szCs w:val="21"/>
          <w:highlight w:val="none"/>
          <w:lang w:val="en-US" w:eastAsia="zh-CN"/>
        </w:rPr>
        <w:t>优先</w:t>
      </w:r>
      <w:r>
        <w:rPr>
          <w:rFonts w:hint="eastAsia" w:ascii="Times New Roman" w:hAnsi="Times New Roman" w:eastAsia="宋体" w:cs="Times New Roman"/>
          <w:szCs w:val="21"/>
          <w:highlight w:val="none"/>
        </w:rPr>
        <w:t>使用物理关系参数</w:t>
      </w:r>
      <w:r>
        <w:rPr>
          <w:rFonts w:hint="eastAsia" w:ascii="Times New Roman" w:hAnsi="Times New Roman" w:eastAsia="宋体" w:cs="Times New Roman"/>
          <w:szCs w:val="21"/>
          <w:highlight w:val="none"/>
          <w:lang w:val="en-US" w:eastAsia="zh-CN"/>
        </w:rPr>
        <w:t>分配法，如产品产量</w:t>
      </w:r>
      <w:r>
        <w:rPr>
          <w:rFonts w:ascii="Times New Roman" w:hAnsi="Times New Roman" w:eastAsia="宋体" w:cs="Times New Roman"/>
          <w:szCs w:val="21"/>
          <w:highlight w:val="none"/>
        </w:rPr>
        <w:t>；</w:t>
      </w:r>
    </w:p>
    <w:p w14:paraId="2421E634">
      <w:pPr>
        <w:pStyle w:val="152"/>
        <w:numPr>
          <w:ilvl w:val="0"/>
          <w:numId w:val="21"/>
        </w:numPr>
        <w:spacing w:line="276" w:lineRule="auto"/>
        <w:ind w:firstLineChars="0"/>
        <w:rPr>
          <w:rFonts w:ascii="Times New Roman" w:hAnsi="Times New Roman" w:eastAsia="宋体" w:cs="Times New Roman"/>
          <w:szCs w:val="21"/>
          <w:highlight w:val="none"/>
        </w:rPr>
      </w:pPr>
      <w:r>
        <w:rPr>
          <w:rFonts w:ascii="Times New Roman" w:hAnsi="Times New Roman" w:eastAsia="宋体" w:cs="Times New Roman"/>
          <w:szCs w:val="21"/>
          <w:highlight w:val="none"/>
        </w:rPr>
        <w:t>若</w:t>
      </w:r>
      <w:r>
        <w:rPr>
          <w:rFonts w:hint="eastAsia" w:ascii="Times New Roman" w:hAnsi="Times New Roman" w:eastAsia="宋体" w:cs="Times New Roman"/>
          <w:szCs w:val="21"/>
          <w:highlight w:val="none"/>
          <w:lang w:val="en-US" w:eastAsia="zh-CN"/>
        </w:rPr>
        <w:t>物理关系参数</w:t>
      </w:r>
      <w:r>
        <w:rPr>
          <w:rFonts w:ascii="Times New Roman" w:hAnsi="Times New Roman" w:eastAsia="宋体" w:cs="Times New Roman"/>
          <w:szCs w:val="21"/>
          <w:highlight w:val="none"/>
        </w:rPr>
        <w:t>分配法不可行，则可采用经济价值分配法；</w:t>
      </w:r>
    </w:p>
    <w:p w14:paraId="47BC261B">
      <w:pPr>
        <w:pStyle w:val="152"/>
        <w:numPr>
          <w:ilvl w:val="0"/>
          <w:numId w:val="21"/>
        </w:numPr>
        <w:spacing w:line="276" w:lineRule="auto"/>
        <w:ind w:firstLineChars="0"/>
        <w:rPr>
          <w:rFonts w:ascii="Times New Roman" w:hAnsi="Times New Roman" w:eastAsia="宋体" w:cs="Times New Roman"/>
          <w:szCs w:val="21"/>
          <w:highlight w:val="none"/>
        </w:rPr>
      </w:pPr>
      <w:r>
        <w:rPr>
          <w:rFonts w:ascii="Times New Roman" w:hAnsi="Times New Roman" w:eastAsia="宋体" w:cs="Times New Roman"/>
          <w:szCs w:val="21"/>
          <w:highlight w:val="none"/>
        </w:rPr>
        <w:t>对于闭环里循环使用的共生产品，不需要分配；</w:t>
      </w:r>
    </w:p>
    <w:p w14:paraId="57F6ACCB">
      <w:pPr>
        <w:pStyle w:val="152"/>
        <w:numPr>
          <w:ilvl w:val="0"/>
          <w:numId w:val="21"/>
        </w:numPr>
        <w:spacing w:line="276" w:lineRule="auto"/>
        <w:ind w:firstLineChars="0"/>
        <w:rPr>
          <w:rFonts w:ascii="Times New Roman" w:hAnsi="Times New Roman" w:eastAsia="宋体" w:cs="Times New Roman"/>
          <w:szCs w:val="21"/>
          <w:highlight w:val="none"/>
        </w:rPr>
      </w:pPr>
      <w:r>
        <w:rPr>
          <w:rFonts w:ascii="Times New Roman" w:hAnsi="Times New Roman" w:eastAsia="宋体" w:cs="Times New Roman"/>
          <w:szCs w:val="21"/>
          <w:highlight w:val="none"/>
        </w:rPr>
        <w:t>评价过程中涉及分配方法应在</w:t>
      </w:r>
      <w:r>
        <w:rPr>
          <w:rFonts w:ascii="Times New Roman" w:hAnsi="Times New Roman" w:eastAsia="宋体" w:cs="Times New Roman"/>
          <w:highlight w:val="none"/>
        </w:rPr>
        <w:t>产品碳足迹报告</w:t>
      </w:r>
      <w:r>
        <w:rPr>
          <w:rFonts w:ascii="Times New Roman" w:hAnsi="Times New Roman" w:eastAsia="宋体" w:cs="Times New Roman"/>
          <w:szCs w:val="21"/>
          <w:highlight w:val="none"/>
        </w:rPr>
        <w:t>中予以明确说明。</w:t>
      </w:r>
    </w:p>
    <w:p w14:paraId="0A6C6EAA">
      <w:pPr>
        <w:pStyle w:val="50"/>
        <w:numPr>
          <w:ilvl w:val="0"/>
          <w:numId w:val="11"/>
        </w:numPr>
        <w:adjustRightInd w:val="0"/>
        <w:snapToGrid w:val="0"/>
        <w:spacing w:before="120" w:beforeLines="50" w:after="120" w:afterLines="50" w:line="360" w:lineRule="exact"/>
        <w:ind w:left="284" w:hanging="284"/>
        <w:outlineLvl w:val="0"/>
        <w:rPr>
          <w:rFonts w:hint="eastAsia" w:ascii="黑体" w:hAnsi="黑体" w:eastAsia="黑体"/>
          <w:b w:val="0"/>
          <w:bCs w:val="0"/>
          <w:szCs w:val="21"/>
        </w:rPr>
      </w:pPr>
      <w:bookmarkStart w:id="30" w:name="_Toc20615"/>
      <w:bookmarkStart w:id="31" w:name="_Toc18058"/>
      <w:bookmarkStart w:id="32" w:name="_Toc16736"/>
      <w:r>
        <w:rPr>
          <w:rFonts w:hint="eastAsia" w:ascii="黑体" w:hAnsi="黑体" w:eastAsia="黑体"/>
          <w:b w:val="0"/>
          <w:bCs w:val="0"/>
          <w:szCs w:val="21"/>
        </w:rPr>
        <w:t>影响评价</w:t>
      </w:r>
      <w:bookmarkEnd w:id="30"/>
      <w:bookmarkEnd w:id="31"/>
      <w:bookmarkEnd w:id="32"/>
    </w:p>
    <w:p w14:paraId="698DFB11">
      <w:pPr>
        <w:pStyle w:val="47"/>
        <w:numPr>
          <w:ilvl w:val="1"/>
          <w:numId w:val="11"/>
        </w:numPr>
        <w:adjustRightInd w:val="0"/>
        <w:snapToGrid w:val="0"/>
        <w:spacing w:before="120" w:after="120" w:line="360" w:lineRule="exact"/>
        <w:ind w:left="420" w:hanging="420" w:hangingChars="200"/>
        <w:jc w:val="both"/>
        <w:outlineLvl w:val="1"/>
        <w:rPr>
          <w:rFonts w:ascii="Times New Roman"/>
          <w:color w:val="000000"/>
        </w:rPr>
      </w:pPr>
      <w:r>
        <w:rPr>
          <w:rFonts w:ascii="Times New Roman"/>
          <w:color w:val="000000"/>
        </w:rPr>
        <w:t>计算方法</w:t>
      </w:r>
    </w:p>
    <w:p w14:paraId="32FAD231">
      <w:pPr>
        <w:pStyle w:val="47"/>
        <w:numPr>
          <w:ilvl w:val="2"/>
          <w:numId w:val="11"/>
        </w:numPr>
        <w:adjustRightInd w:val="0"/>
        <w:snapToGrid w:val="0"/>
        <w:spacing w:beforeLines="0" w:afterLines="0" w:line="360" w:lineRule="exact"/>
        <w:ind w:left="0" w:firstLine="0"/>
        <w:jc w:val="both"/>
        <w:outlineLvl w:val="9"/>
        <w:rPr>
          <w:rFonts w:ascii="Times New Roman" w:eastAsia="宋体"/>
        </w:rPr>
      </w:pPr>
      <w:r>
        <w:rPr>
          <w:rFonts w:hint="eastAsia" w:ascii="Times New Roman" w:hAnsi="Times New Roman" w:eastAsia="宋体" w:cs="Times New Roman"/>
        </w:rPr>
        <w:t>在数据收集与确认完成后，将现场数据和非现场数据折算为统一的功能单位，进行产品碳足迹核算，计算公式见式（1）</w:t>
      </w:r>
      <w:r>
        <w:rPr>
          <w:rFonts w:ascii="Times New Roman" w:eastAsia="宋体"/>
        </w:rPr>
        <w:t>：</w:t>
      </w:r>
    </w:p>
    <w:p w14:paraId="546E13CC">
      <w:pPr>
        <w:pStyle w:val="27"/>
        <w:spacing w:line="276" w:lineRule="auto"/>
        <w:ind w:firstLine="0" w:firstLineChars="0"/>
        <w:jc w:val="right"/>
        <w:rPr>
          <w:rFonts w:ascii="Times New Roman"/>
          <w:szCs w:val="21"/>
          <w:highlight w:val="none"/>
        </w:rPr>
      </w:pPr>
      <m:oMath>
        <m:sSub>
          <m:sSubPr>
            <m:ctrlPr>
              <w:rPr>
                <w:rFonts w:ascii="Cambria Math" w:hAnsi="Cambria Math"/>
                <w:i/>
                <w:szCs w:val="21"/>
                <w:highlight w:val="none"/>
              </w:rPr>
            </m:ctrlPr>
          </m:sSubPr>
          <m:e>
            <m:r>
              <m:rPr/>
              <w:rPr>
                <w:rFonts w:ascii="Cambria Math" w:hAnsi="Cambria Math"/>
                <w:szCs w:val="21"/>
                <w:highlight w:val="none"/>
              </w:rPr>
              <m:t>CFP</m:t>
            </m:r>
            <m:ctrlPr>
              <w:rPr>
                <w:rFonts w:ascii="Cambria Math" w:hAnsi="Cambria Math"/>
                <w:i/>
                <w:szCs w:val="21"/>
                <w:highlight w:val="none"/>
              </w:rPr>
            </m:ctrlPr>
          </m:e>
          <m:sub>
            <m:r>
              <m:rPr/>
              <w:rPr>
                <w:rFonts w:ascii="Cambria Math" w:hAnsi="Cambria Math"/>
                <w:szCs w:val="21"/>
                <w:highlight w:val="none"/>
              </w:rPr>
              <m:t>GHG</m:t>
            </m:r>
            <m:ctrlPr>
              <w:rPr>
                <w:rFonts w:ascii="Cambria Math" w:hAnsi="Cambria Math"/>
                <w:i/>
                <w:szCs w:val="21"/>
                <w:highlight w:val="none"/>
              </w:rPr>
            </m:ctrlPr>
          </m:sub>
        </m:sSub>
        <m:r>
          <m:rPr/>
          <w:rPr>
            <w:rFonts w:ascii="Cambria Math" w:hAnsi="Cambria Math"/>
            <w:szCs w:val="21"/>
            <w:highlight w:val="none"/>
          </w:rPr>
          <m:t>=</m:t>
        </m:r>
        <m:nary>
          <m:naryPr>
            <m:chr m:val="∑"/>
            <m:limLoc m:val="undOvr"/>
            <m:supHide m:val="1"/>
            <m:ctrlPr>
              <w:rPr>
                <w:rFonts w:ascii="Cambria Math" w:hAnsi="Cambria Math"/>
                <w:i/>
                <w:szCs w:val="21"/>
                <w:highlight w:val="none"/>
              </w:rPr>
            </m:ctrlPr>
          </m:naryPr>
          <m:sub>
            <m:r>
              <m:rPr/>
              <w:rPr>
                <w:rFonts w:ascii="Cambria Math" w:hAnsi="Cambria Math"/>
                <w:szCs w:val="21"/>
                <w:highlight w:val="none"/>
              </w:rPr>
              <m:t>i</m:t>
            </m:r>
            <m:ctrlPr>
              <w:rPr>
                <w:rFonts w:ascii="Cambria Math" w:hAnsi="Cambria Math"/>
                <w:i/>
                <w:szCs w:val="21"/>
                <w:highlight w:val="none"/>
              </w:rPr>
            </m:ctrlPr>
          </m:sub>
          <m:sup>
            <m:ctrlPr>
              <w:rPr>
                <w:rFonts w:ascii="Cambria Math" w:hAnsi="Cambria Math"/>
                <w:i/>
                <w:szCs w:val="21"/>
                <w:highlight w:val="none"/>
              </w:rPr>
            </m:ctrlPr>
          </m:sup>
          <m:e>
            <m:r>
              <m:rPr>
                <m:sty m:val="p"/>
              </m:rPr>
              <w:rPr>
                <w:rFonts w:ascii="Cambria Math" w:hAnsi="Cambria Math"/>
                <w:szCs w:val="21"/>
                <w:highlight w:val="none"/>
              </w:rPr>
              <m:t>（</m:t>
            </m:r>
            <m:sSub>
              <m:sSubPr>
                <m:ctrlPr>
                  <w:rPr>
                    <w:rFonts w:ascii="Cambria Math" w:hAnsi="Cambria Math"/>
                    <w:i/>
                    <w:szCs w:val="21"/>
                    <w:highlight w:val="none"/>
                  </w:rPr>
                </m:ctrlPr>
              </m:sSubPr>
              <m:e>
                <m:r>
                  <m:rPr/>
                  <w:rPr>
                    <w:rFonts w:ascii="Cambria Math" w:hAnsi="Cambria Math"/>
                    <w:szCs w:val="21"/>
                    <w:highlight w:val="none"/>
                  </w:rPr>
                  <m:t>GWP</m:t>
                </m:r>
                <m:ctrlPr>
                  <w:rPr>
                    <w:rFonts w:ascii="Cambria Math" w:hAnsi="Cambria Math"/>
                    <w:i/>
                    <w:szCs w:val="21"/>
                    <w:highlight w:val="none"/>
                  </w:rPr>
                </m:ctrlPr>
              </m:e>
              <m:sub>
                <m:r>
                  <m:rPr/>
                  <w:rPr>
                    <w:rFonts w:ascii="Cambria Math" w:hAnsi="Cambria Math"/>
                    <w:szCs w:val="21"/>
                    <w:highlight w:val="none"/>
                  </w:rPr>
                  <m:t>i</m:t>
                </m:r>
                <m:ctrlPr>
                  <w:rPr>
                    <w:rFonts w:ascii="Cambria Math" w:hAnsi="Cambria Math"/>
                    <w:i/>
                    <w:szCs w:val="21"/>
                    <w:highlight w:val="none"/>
                  </w:rPr>
                </m:ctrlPr>
              </m:sub>
            </m:sSub>
            <m:r>
              <m:rPr/>
              <w:rPr>
                <w:rFonts w:ascii="Cambria Math" w:hAnsi="Cambria Math"/>
                <w:szCs w:val="21"/>
                <w:highlight w:val="none"/>
              </w:rPr>
              <m:t>×</m:t>
            </m:r>
            <m:sSub>
              <m:sSubPr>
                <m:ctrlPr>
                  <w:rPr>
                    <w:rFonts w:ascii="Cambria Math" w:hAnsi="Cambria Math"/>
                    <w:i/>
                    <w:szCs w:val="21"/>
                    <w:highlight w:val="none"/>
                  </w:rPr>
                </m:ctrlPr>
              </m:sSubPr>
              <m:e>
                <m:r>
                  <m:rPr/>
                  <w:rPr>
                    <w:rFonts w:ascii="Cambria Math" w:hAnsi="Cambria Math"/>
                    <w:szCs w:val="21"/>
                    <w:highlight w:val="none"/>
                  </w:rPr>
                  <m:t>CFP</m:t>
                </m:r>
                <m:ctrlPr>
                  <w:rPr>
                    <w:rFonts w:ascii="Cambria Math" w:hAnsi="Cambria Math"/>
                    <w:i/>
                    <w:szCs w:val="21"/>
                    <w:highlight w:val="none"/>
                  </w:rPr>
                </m:ctrlPr>
              </m:e>
              <m:sub>
                <m:r>
                  <m:rPr/>
                  <w:rPr>
                    <w:rFonts w:ascii="Cambria Math" w:hAnsi="Cambria Math"/>
                    <w:szCs w:val="21"/>
                    <w:highlight w:val="none"/>
                  </w:rPr>
                  <m:t>i</m:t>
                </m:r>
                <m:ctrlPr>
                  <w:rPr>
                    <w:rFonts w:ascii="Cambria Math" w:hAnsi="Cambria Math"/>
                    <w:i/>
                    <w:szCs w:val="21"/>
                    <w:highlight w:val="none"/>
                  </w:rPr>
                </m:ctrlPr>
              </m:sub>
            </m:sSub>
            <m:r>
              <m:rPr>
                <m:sty m:val="p"/>
              </m:rPr>
              <w:rPr>
                <w:rFonts w:ascii="Cambria Math" w:hAnsi="Cambria Math"/>
                <w:szCs w:val="21"/>
                <w:highlight w:val="none"/>
              </w:rPr>
              <m:t>）</m:t>
            </m:r>
            <m:ctrlPr>
              <w:rPr>
                <w:rFonts w:ascii="Cambria Math" w:hAnsi="Cambria Math"/>
                <w:i/>
                <w:szCs w:val="21"/>
                <w:highlight w:val="none"/>
              </w:rPr>
            </m:ctrlPr>
          </m:e>
        </m:nary>
      </m:oMath>
      <w:r>
        <w:rPr>
          <w:rFonts w:ascii="Times New Roman"/>
          <w:szCs w:val="21"/>
          <w:highlight w:val="none"/>
        </w:rPr>
        <w:t xml:space="preserve">                                                      （1）</w:t>
      </w:r>
    </w:p>
    <w:p w14:paraId="501A547C">
      <w:pPr>
        <w:pStyle w:val="27"/>
        <w:spacing w:line="276" w:lineRule="auto"/>
        <w:jc w:val="left"/>
        <w:rPr>
          <w:rFonts w:ascii="Times New Roman"/>
          <w:szCs w:val="21"/>
          <w:highlight w:val="none"/>
        </w:rPr>
      </w:pPr>
      <w:r>
        <w:rPr>
          <w:rFonts w:ascii="Times New Roman"/>
          <w:szCs w:val="21"/>
          <w:highlight w:val="none"/>
        </w:rPr>
        <w:t>式中：</w:t>
      </w:r>
    </w:p>
    <w:tbl>
      <w:tblPr>
        <w:tblStyle w:val="3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057"/>
        <w:gridCol w:w="687"/>
        <w:gridCol w:w="8223"/>
      </w:tblGrid>
      <w:tr w14:paraId="679FFB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1057" w:type="dxa"/>
          </w:tcPr>
          <w:p w14:paraId="5EBCFFB3">
            <w:pPr>
              <w:pStyle w:val="27"/>
              <w:spacing w:line="276" w:lineRule="auto"/>
              <w:ind w:firstLine="0" w:firstLineChars="0"/>
              <w:jc w:val="right"/>
              <w:rPr>
                <w:rFonts w:ascii="Times New Roman"/>
                <w:i/>
                <w:iCs/>
                <w:szCs w:val="18"/>
                <w:highlight w:val="none"/>
              </w:rPr>
            </w:pPr>
            <w:r>
              <w:rPr>
                <w:rFonts w:hint="eastAsia" w:ascii="Times New Roman"/>
                <w:i/>
                <w:iCs/>
                <w:szCs w:val="18"/>
                <w:highlight w:val="none"/>
              </w:rPr>
              <w:t>CFP</w:t>
            </w:r>
            <w:r>
              <w:rPr>
                <w:rFonts w:hint="eastAsia" w:ascii="Times New Roman"/>
                <w:i/>
                <w:iCs/>
                <w:szCs w:val="18"/>
                <w:highlight w:val="none"/>
                <w:vertAlign w:val="subscript"/>
              </w:rPr>
              <w:t>GHG</w:t>
            </w:r>
          </w:p>
        </w:tc>
        <w:tc>
          <w:tcPr>
            <w:tcW w:w="687" w:type="dxa"/>
          </w:tcPr>
          <w:p w14:paraId="59634026">
            <w:pPr>
              <w:pStyle w:val="27"/>
              <w:spacing w:line="276" w:lineRule="auto"/>
              <w:ind w:firstLine="0" w:firstLineChars="0"/>
              <w:rPr>
                <w:rFonts w:ascii="Times New Roman"/>
                <w:szCs w:val="18"/>
                <w:highlight w:val="none"/>
              </w:rPr>
            </w:pPr>
            <w:r>
              <w:rPr>
                <w:rFonts w:ascii="Times New Roman"/>
                <w:szCs w:val="21"/>
                <w:highlight w:val="none"/>
              </w:rPr>
              <w:t>——</w:t>
            </w:r>
          </w:p>
        </w:tc>
        <w:tc>
          <w:tcPr>
            <w:tcW w:w="8223" w:type="dxa"/>
          </w:tcPr>
          <w:p w14:paraId="78E722AD">
            <w:pPr>
              <w:pStyle w:val="27"/>
              <w:spacing w:line="276" w:lineRule="auto"/>
              <w:ind w:firstLine="0" w:firstLineChars="0"/>
              <w:rPr>
                <w:rFonts w:ascii="Times New Roman"/>
                <w:szCs w:val="18"/>
                <w:highlight w:val="none"/>
              </w:rPr>
            </w:pPr>
            <w:r>
              <w:rPr>
                <w:rFonts w:ascii="Times New Roman"/>
                <w:szCs w:val="21"/>
                <w:highlight w:val="none"/>
              </w:rPr>
              <w:t>产品碳足迹或产品部分碳足迹，单位为千克二氧化碳当量每功能单位或声明单位（kg CO</w:t>
            </w:r>
            <w:r>
              <w:rPr>
                <w:rFonts w:ascii="Times New Roman"/>
                <w:szCs w:val="21"/>
                <w:highlight w:val="none"/>
                <w:vertAlign w:val="subscript"/>
              </w:rPr>
              <w:t>2</w:t>
            </w:r>
            <w:r>
              <w:rPr>
                <w:rFonts w:ascii="Times New Roman"/>
                <w:szCs w:val="21"/>
                <w:highlight w:val="none"/>
              </w:rPr>
              <w:t xml:space="preserve"> e/功能单位或声明单位）；</w:t>
            </w:r>
          </w:p>
        </w:tc>
      </w:tr>
      <w:tr w14:paraId="5DCFF6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1057" w:type="dxa"/>
          </w:tcPr>
          <w:p w14:paraId="55838C36">
            <w:pPr>
              <w:pStyle w:val="27"/>
              <w:spacing w:line="276" w:lineRule="auto"/>
              <w:ind w:firstLine="0" w:firstLineChars="0"/>
              <w:jc w:val="right"/>
              <w:rPr>
                <w:rFonts w:ascii="Times New Roman"/>
                <w:i/>
                <w:iCs/>
                <w:szCs w:val="18"/>
                <w:highlight w:val="none"/>
              </w:rPr>
            </w:pPr>
            <w:r>
              <w:rPr>
                <w:rFonts w:ascii="Times New Roman"/>
                <w:i/>
                <w:iCs/>
                <w:szCs w:val="21"/>
                <w:highlight w:val="none"/>
              </w:rPr>
              <w:t>C</w:t>
            </w:r>
            <w:r>
              <w:rPr>
                <w:rFonts w:hint="eastAsia" w:ascii="Times New Roman"/>
                <w:i/>
                <w:iCs/>
                <w:szCs w:val="21"/>
                <w:highlight w:val="none"/>
              </w:rPr>
              <w:t>FP</w:t>
            </w:r>
            <w:r>
              <w:rPr>
                <w:rFonts w:ascii="Times New Roman"/>
                <w:i/>
                <w:iCs/>
                <w:szCs w:val="21"/>
                <w:highlight w:val="none"/>
                <w:vertAlign w:val="subscript"/>
              </w:rPr>
              <w:t>i</w:t>
            </w:r>
          </w:p>
        </w:tc>
        <w:tc>
          <w:tcPr>
            <w:tcW w:w="687" w:type="dxa"/>
          </w:tcPr>
          <w:p w14:paraId="54BF9B1A">
            <w:pPr>
              <w:pStyle w:val="27"/>
              <w:spacing w:line="276" w:lineRule="auto"/>
              <w:ind w:firstLine="0" w:firstLineChars="0"/>
              <w:rPr>
                <w:rFonts w:ascii="Times New Roman"/>
                <w:szCs w:val="18"/>
                <w:highlight w:val="none"/>
              </w:rPr>
            </w:pPr>
            <w:r>
              <w:rPr>
                <w:rFonts w:ascii="Times New Roman"/>
                <w:szCs w:val="21"/>
                <w:highlight w:val="none"/>
              </w:rPr>
              <w:t>——</w:t>
            </w:r>
          </w:p>
        </w:tc>
        <w:tc>
          <w:tcPr>
            <w:tcW w:w="8223" w:type="dxa"/>
          </w:tcPr>
          <w:p w14:paraId="40E59A29">
            <w:pPr>
              <w:pStyle w:val="27"/>
              <w:spacing w:line="276" w:lineRule="auto"/>
              <w:ind w:firstLine="0" w:firstLineChars="0"/>
              <w:rPr>
                <w:rFonts w:ascii="Times New Roman"/>
                <w:szCs w:val="18"/>
                <w:highlight w:val="none"/>
              </w:rPr>
            </w:pPr>
            <w:r>
              <w:rPr>
                <w:rFonts w:ascii="Times New Roman"/>
                <w:szCs w:val="21"/>
                <w:highlight w:val="none"/>
              </w:rPr>
              <w:t>每功能单位（</w:t>
            </w:r>
            <w:r>
              <w:rPr>
                <w:rFonts w:hint="eastAsia" w:ascii="Times New Roman"/>
                <w:szCs w:val="21"/>
                <w:highlight w:val="none"/>
              </w:rPr>
              <w:t>声明单位</w:t>
            </w:r>
            <w:r>
              <w:rPr>
                <w:rFonts w:ascii="Times New Roman"/>
                <w:szCs w:val="21"/>
                <w:highlight w:val="none"/>
              </w:rPr>
              <w:t>）生命周期中第</w:t>
            </w:r>
            <w:r>
              <w:rPr>
                <w:rFonts w:ascii="Times New Roman"/>
                <w:i/>
                <w:iCs/>
                <w:szCs w:val="21"/>
                <w:highlight w:val="none"/>
              </w:rPr>
              <w:t>i</w:t>
            </w:r>
            <w:r>
              <w:rPr>
                <w:rFonts w:ascii="Times New Roman"/>
                <w:szCs w:val="21"/>
                <w:highlight w:val="none"/>
              </w:rPr>
              <w:t>类温室气体排放总量，单位为</w:t>
            </w:r>
            <w:r>
              <w:rPr>
                <w:rFonts w:ascii="Times New Roman"/>
                <w:szCs w:val="18"/>
                <w:highlight w:val="none"/>
              </w:rPr>
              <w:t>千克（kg），计算方法</w:t>
            </w:r>
            <w:r>
              <w:rPr>
                <w:rFonts w:hint="eastAsia" w:ascii="Times New Roman"/>
                <w:szCs w:val="18"/>
                <w:highlight w:val="none"/>
                <w:lang w:val="en-US" w:eastAsia="zh-CN"/>
              </w:rPr>
              <w:t>见公</w:t>
            </w:r>
            <w:r>
              <w:rPr>
                <w:rFonts w:ascii="Times New Roman"/>
                <w:szCs w:val="18"/>
                <w:highlight w:val="none"/>
              </w:rPr>
              <w:t>式（2）；</w:t>
            </w:r>
          </w:p>
        </w:tc>
      </w:tr>
      <w:tr w14:paraId="0D6232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1057" w:type="dxa"/>
          </w:tcPr>
          <w:p w14:paraId="40BCF80F">
            <w:pPr>
              <w:pStyle w:val="27"/>
              <w:spacing w:line="276" w:lineRule="auto"/>
              <w:ind w:firstLine="0" w:firstLineChars="0"/>
              <w:jc w:val="right"/>
              <w:rPr>
                <w:rFonts w:ascii="Times New Roman"/>
                <w:i/>
                <w:iCs/>
                <w:szCs w:val="18"/>
                <w:highlight w:val="none"/>
              </w:rPr>
            </w:pPr>
            <w:r>
              <w:rPr>
                <w:rFonts w:ascii="Times New Roman"/>
                <w:i/>
                <w:szCs w:val="21"/>
                <w:highlight w:val="none"/>
              </w:rPr>
              <w:t>GWP</w:t>
            </w:r>
            <w:r>
              <w:rPr>
                <w:rFonts w:ascii="Times New Roman"/>
                <w:i/>
                <w:szCs w:val="21"/>
                <w:highlight w:val="none"/>
                <w:vertAlign w:val="subscript"/>
              </w:rPr>
              <w:t>i</w:t>
            </w:r>
          </w:p>
        </w:tc>
        <w:tc>
          <w:tcPr>
            <w:tcW w:w="687" w:type="dxa"/>
          </w:tcPr>
          <w:p w14:paraId="688937FF">
            <w:pPr>
              <w:pStyle w:val="27"/>
              <w:spacing w:line="276" w:lineRule="auto"/>
              <w:ind w:firstLine="0" w:firstLineChars="0"/>
              <w:rPr>
                <w:rFonts w:ascii="Times New Roman"/>
                <w:szCs w:val="18"/>
                <w:highlight w:val="none"/>
              </w:rPr>
            </w:pPr>
            <w:r>
              <w:rPr>
                <w:rFonts w:ascii="Times New Roman"/>
                <w:szCs w:val="21"/>
                <w:highlight w:val="none"/>
              </w:rPr>
              <w:t>——</w:t>
            </w:r>
          </w:p>
        </w:tc>
        <w:tc>
          <w:tcPr>
            <w:tcW w:w="8223" w:type="dxa"/>
          </w:tcPr>
          <w:p w14:paraId="75D43791">
            <w:pPr>
              <w:pStyle w:val="27"/>
              <w:spacing w:line="276" w:lineRule="auto"/>
              <w:ind w:firstLine="0" w:firstLineChars="0"/>
              <w:rPr>
                <w:rFonts w:ascii="Times New Roman"/>
                <w:szCs w:val="18"/>
                <w:highlight w:val="none"/>
              </w:rPr>
            </w:pPr>
            <w:r>
              <w:rPr>
                <w:rFonts w:ascii="Times New Roman"/>
                <w:szCs w:val="21"/>
                <w:highlight w:val="none"/>
              </w:rPr>
              <w:t>第</w:t>
            </w:r>
            <w:r>
              <w:rPr>
                <w:rFonts w:ascii="Times New Roman"/>
                <w:i/>
                <w:iCs/>
                <w:szCs w:val="21"/>
                <w:highlight w:val="none"/>
              </w:rPr>
              <w:t>i</w:t>
            </w:r>
            <w:r>
              <w:rPr>
                <w:rFonts w:ascii="Times New Roman"/>
                <w:szCs w:val="21"/>
                <w:highlight w:val="none"/>
              </w:rPr>
              <w:t>类温室气体的</w:t>
            </w:r>
            <w:r>
              <w:rPr>
                <w:rFonts w:hint="eastAsia" w:ascii="Times New Roman"/>
                <w:szCs w:val="21"/>
                <w:highlight w:val="none"/>
              </w:rPr>
              <w:t>GWP值</w:t>
            </w:r>
            <w:r>
              <w:rPr>
                <w:rFonts w:ascii="Times New Roman"/>
                <w:szCs w:val="21"/>
                <w:highlight w:val="none"/>
              </w:rPr>
              <w:t>，</w:t>
            </w:r>
            <w:r>
              <w:rPr>
                <w:rFonts w:hint="eastAsia" w:ascii="Times New Roman"/>
                <w:szCs w:val="21"/>
                <w:highlight w:val="none"/>
              </w:rPr>
              <w:t>采用IPCC给出的100年GWP值，</w:t>
            </w:r>
            <w:r>
              <w:rPr>
                <w:rFonts w:ascii="Times New Roman"/>
                <w:szCs w:val="21"/>
                <w:highlight w:val="none"/>
              </w:rPr>
              <w:t>见</w:t>
            </w:r>
            <w:r>
              <w:rPr>
                <w:rFonts w:hint="eastAsia" w:ascii="Times New Roman"/>
                <w:szCs w:val="21"/>
                <w:highlight w:val="none"/>
                <w:lang w:val="en-US" w:eastAsia="zh-CN"/>
              </w:rPr>
              <w:t>附录D</w:t>
            </w:r>
            <w:r>
              <w:rPr>
                <w:rFonts w:ascii="Times New Roman"/>
                <w:szCs w:val="21"/>
                <w:highlight w:val="none"/>
              </w:rPr>
              <w:t>。</w:t>
            </w:r>
          </w:p>
        </w:tc>
      </w:tr>
    </w:tbl>
    <w:p w14:paraId="468A51AE">
      <w:pPr>
        <w:pStyle w:val="27"/>
        <w:tabs>
          <w:tab w:val="center" w:pos="4536"/>
          <w:tab w:val="clear" w:pos="4201"/>
        </w:tabs>
        <w:wordWrap w:val="0"/>
        <w:spacing w:line="276" w:lineRule="auto"/>
        <w:ind w:firstLine="0" w:firstLineChars="0"/>
        <w:jc w:val="right"/>
        <w:rPr>
          <w:rFonts w:ascii="Times New Roman"/>
          <w:szCs w:val="21"/>
          <w:highlight w:val="none"/>
        </w:rPr>
      </w:pPr>
      <m:oMath>
        <m:sSub>
          <m:sSubPr>
            <m:ctrlPr>
              <w:rPr>
                <w:rFonts w:ascii="Cambria Math" w:hAnsi="Cambria Math"/>
                <w:szCs w:val="21"/>
                <w:highlight w:val="none"/>
              </w:rPr>
            </m:ctrlPr>
          </m:sSubPr>
          <m:e>
            <m:r>
              <m:rPr/>
              <w:rPr>
                <w:rFonts w:ascii="Cambria Math" w:hAnsi="Cambria Math"/>
                <w:szCs w:val="21"/>
                <w:highlight w:val="none"/>
              </w:rPr>
              <m:t>CFP</m:t>
            </m:r>
            <m:ctrlPr>
              <w:rPr>
                <w:rFonts w:ascii="Cambria Math" w:hAnsi="Cambria Math"/>
                <w:szCs w:val="21"/>
                <w:highlight w:val="none"/>
              </w:rPr>
            </m:ctrlPr>
          </m:e>
          <m:sub>
            <m:r>
              <m:rPr/>
              <w:rPr>
                <w:rFonts w:ascii="Cambria Math" w:hAnsi="Cambria Math"/>
                <w:szCs w:val="21"/>
                <w:highlight w:val="none"/>
              </w:rPr>
              <m:t>i</m:t>
            </m:r>
            <m:ctrlPr>
              <w:rPr>
                <w:rFonts w:ascii="Cambria Math" w:hAnsi="Cambria Math"/>
                <w:szCs w:val="21"/>
                <w:highlight w:val="none"/>
              </w:rPr>
            </m:ctrlPr>
          </m:sub>
        </m:sSub>
        <m:r>
          <m:rPr>
            <m:sty m:val="p"/>
          </m:rPr>
          <w:rPr>
            <w:rFonts w:ascii="Cambria Math" w:hAnsi="Cambria Math"/>
            <w:szCs w:val="21"/>
            <w:highlight w:val="none"/>
          </w:rPr>
          <m:t>=</m:t>
        </m:r>
        <m:sSub>
          <m:sSubPr>
            <m:ctrlPr>
              <w:rPr>
                <w:rFonts w:ascii="Cambria Math" w:hAnsi="Cambria Math"/>
                <w:szCs w:val="21"/>
                <w:highlight w:val="none"/>
              </w:rPr>
            </m:ctrlPr>
          </m:sSubPr>
          <m:e>
            <m:r>
              <m:rPr/>
              <w:rPr>
                <w:rFonts w:ascii="Cambria Math" w:hAnsi="Cambria Math"/>
                <w:szCs w:val="21"/>
                <w:highlight w:val="none"/>
              </w:rPr>
              <m:t>CFP</m:t>
            </m:r>
            <m:ctrlPr>
              <w:rPr>
                <w:rFonts w:ascii="Cambria Math" w:hAnsi="Cambria Math"/>
                <w:szCs w:val="21"/>
                <w:highlight w:val="none"/>
              </w:rPr>
            </m:ctrlPr>
          </m:e>
          <m:sub>
            <m:r>
              <m:rPr/>
              <w:rPr>
                <w:rFonts w:ascii="Cambria Math" w:hAnsi="Cambria Math"/>
                <w:szCs w:val="21"/>
                <w:highlight w:val="none"/>
              </w:rPr>
              <m:t>A,i</m:t>
            </m:r>
            <m:ctrlPr>
              <w:rPr>
                <w:rFonts w:ascii="Cambria Math" w:hAnsi="Cambria Math"/>
                <w:szCs w:val="21"/>
                <w:highlight w:val="none"/>
              </w:rPr>
            </m:ctrlPr>
          </m:sub>
        </m:sSub>
        <m:r>
          <m:rPr>
            <m:sty m:val="p"/>
          </m:rPr>
          <w:rPr>
            <w:rFonts w:ascii="Cambria Math" w:hAnsi="Cambria Math"/>
            <w:szCs w:val="21"/>
            <w:highlight w:val="none"/>
          </w:rPr>
          <m:t>+</m:t>
        </m:r>
        <m:sSub>
          <m:sSubPr>
            <m:ctrlPr>
              <w:rPr>
                <w:rFonts w:ascii="Cambria Math" w:hAnsi="Cambria Math"/>
                <w:szCs w:val="21"/>
                <w:highlight w:val="none"/>
              </w:rPr>
            </m:ctrlPr>
          </m:sSubPr>
          <m:e>
            <m:r>
              <m:rPr/>
              <w:rPr>
                <w:rFonts w:ascii="Cambria Math" w:hAnsi="Cambria Math"/>
                <w:szCs w:val="21"/>
                <w:highlight w:val="none"/>
              </w:rPr>
              <m:t>CFP</m:t>
            </m:r>
            <m:ctrlPr>
              <w:rPr>
                <w:rFonts w:ascii="Cambria Math" w:hAnsi="Cambria Math"/>
                <w:szCs w:val="21"/>
                <w:highlight w:val="none"/>
              </w:rPr>
            </m:ctrlPr>
          </m:e>
          <m:sub>
            <m:r>
              <m:rPr/>
              <w:rPr>
                <w:rFonts w:ascii="Cambria Math" w:hAnsi="Cambria Math"/>
                <w:szCs w:val="21"/>
                <w:highlight w:val="none"/>
              </w:rPr>
              <m:t>B,i</m:t>
            </m:r>
            <m:ctrlPr>
              <w:rPr>
                <w:rFonts w:ascii="Cambria Math" w:hAnsi="Cambria Math"/>
                <w:szCs w:val="21"/>
                <w:highlight w:val="none"/>
              </w:rPr>
            </m:ctrlPr>
          </m:sub>
        </m:sSub>
        <m:sSub>
          <m:sSubPr>
            <m:ctrlPr>
              <w:rPr>
                <w:rFonts w:ascii="Cambria Math" w:hAnsi="Cambria Math"/>
                <w:szCs w:val="21"/>
                <w:highlight w:val="none"/>
              </w:rPr>
            </m:ctrlPr>
          </m:sSubPr>
          <m:e>
            <m:r>
              <m:rPr/>
              <w:rPr>
                <w:rFonts w:ascii="Cambria Math" w:hAnsi="Cambria Math"/>
                <w:szCs w:val="21"/>
                <w:highlight w:val="none"/>
              </w:rPr>
              <m:t>+</m:t>
            </m:r>
            <m:sSub>
              <m:sSubPr>
                <m:ctrlPr>
                  <w:rPr>
                    <w:rFonts w:ascii="Cambria Math" w:hAnsi="Cambria Math"/>
                    <w:szCs w:val="21"/>
                    <w:highlight w:val="none"/>
                  </w:rPr>
                </m:ctrlPr>
              </m:sSubPr>
              <m:e>
                <m:r>
                  <m:rPr/>
                  <w:rPr>
                    <w:rFonts w:ascii="Cambria Math" w:hAnsi="Cambria Math"/>
                    <w:szCs w:val="21"/>
                    <w:highlight w:val="none"/>
                  </w:rPr>
                  <m:t>CFP</m:t>
                </m:r>
                <m:ctrlPr>
                  <w:rPr>
                    <w:rFonts w:ascii="Cambria Math" w:hAnsi="Cambria Math"/>
                    <w:szCs w:val="21"/>
                    <w:highlight w:val="none"/>
                  </w:rPr>
                </m:ctrlPr>
              </m:e>
              <m:sub>
                <m:r>
                  <m:rPr/>
                  <w:rPr>
                    <w:rFonts w:ascii="Cambria Math" w:hAnsi="Cambria Math"/>
                    <w:szCs w:val="21"/>
                    <w:highlight w:val="none"/>
                  </w:rPr>
                  <m:t>C,i</m:t>
                </m:r>
                <m:ctrlPr>
                  <w:rPr>
                    <w:rFonts w:ascii="Cambria Math" w:hAnsi="Cambria Math"/>
                    <w:szCs w:val="21"/>
                    <w:highlight w:val="none"/>
                  </w:rPr>
                </m:ctrlPr>
              </m:sub>
            </m:sSub>
            <m:r>
              <m:rPr>
                <m:sty m:val="p"/>
              </m:rPr>
              <w:rPr>
                <w:rFonts w:ascii="Cambria Math" w:hAnsi="Cambria Math"/>
                <w:szCs w:val="21"/>
                <w:highlight w:val="none"/>
              </w:rPr>
              <m:t>+</m:t>
            </m:r>
            <m:sSub>
              <m:sSubPr>
                <m:ctrlPr>
                  <w:rPr>
                    <w:rFonts w:ascii="Cambria Math" w:hAnsi="Cambria Math"/>
                    <w:i/>
                    <w:szCs w:val="21"/>
                    <w:highlight w:val="none"/>
                  </w:rPr>
                </m:ctrlPr>
              </m:sSubPr>
              <m:e>
                <m:r>
                  <m:rPr/>
                  <w:rPr>
                    <w:rFonts w:ascii="Cambria Math" w:hAnsi="Cambria Math"/>
                    <w:szCs w:val="21"/>
                    <w:highlight w:val="none"/>
                  </w:rPr>
                  <m:t>CFP</m:t>
                </m:r>
                <m:ctrlPr>
                  <w:rPr>
                    <w:rFonts w:ascii="Cambria Math" w:hAnsi="Cambria Math"/>
                    <w:i/>
                    <w:szCs w:val="21"/>
                    <w:highlight w:val="none"/>
                  </w:rPr>
                </m:ctrlPr>
              </m:e>
              <m:sub>
                <m:r>
                  <m:rPr/>
                  <w:rPr>
                    <w:rFonts w:ascii="Cambria Math" w:hAnsi="Cambria Math"/>
                    <w:szCs w:val="21"/>
                    <w:highlight w:val="none"/>
                  </w:rPr>
                  <m:t>D,i</m:t>
                </m:r>
                <m:ctrlPr>
                  <w:rPr>
                    <w:rFonts w:ascii="Cambria Math" w:hAnsi="Cambria Math"/>
                    <w:i/>
                    <w:szCs w:val="21"/>
                    <w:highlight w:val="none"/>
                  </w:rPr>
                </m:ctrlPr>
              </m:sub>
            </m:sSub>
            <m:r>
              <m:rPr/>
              <w:rPr>
                <w:rFonts w:ascii="Cambria Math" w:hAnsi="Cambria Math"/>
                <w:szCs w:val="21"/>
                <w:highlight w:val="none"/>
              </w:rPr>
              <m:t>+</m:t>
            </m:r>
            <m:sSub>
              <m:sSubPr>
                <m:ctrlPr>
                  <w:rPr>
                    <w:rFonts w:ascii="Cambria Math" w:hAnsi="Cambria Math"/>
                    <w:i/>
                    <w:szCs w:val="21"/>
                    <w:highlight w:val="none"/>
                  </w:rPr>
                </m:ctrlPr>
              </m:sSubPr>
              <m:e>
                <m:r>
                  <m:rPr/>
                  <w:rPr>
                    <w:rFonts w:ascii="Cambria Math" w:hAnsi="Cambria Math"/>
                    <w:szCs w:val="21"/>
                    <w:highlight w:val="none"/>
                  </w:rPr>
                  <m:t>CFP</m:t>
                </m:r>
                <m:ctrlPr>
                  <w:rPr>
                    <w:rFonts w:ascii="Cambria Math" w:hAnsi="Cambria Math"/>
                    <w:i/>
                    <w:szCs w:val="21"/>
                    <w:highlight w:val="none"/>
                  </w:rPr>
                </m:ctrlPr>
              </m:e>
              <m:sub>
                <m:r>
                  <m:rPr/>
                  <w:rPr>
                    <w:rFonts w:ascii="Cambria Math" w:hAnsi="Cambria Math"/>
                    <w:szCs w:val="21"/>
                    <w:highlight w:val="none"/>
                  </w:rPr>
                  <m:t>E,i</m:t>
                </m:r>
                <m:ctrlPr>
                  <w:rPr>
                    <w:rFonts w:ascii="Cambria Math" w:hAnsi="Cambria Math"/>
                    <w:i/>
                    <w:szCs w:val="21"/>
                    <w:highlight w:val="none"/>
                  </w:rPr>
                </m:ctrlPr>
              </m:sub>
            </m:sSub>
            <m:ctrlPr>
              <w:rPr>
                <w:rFonts w:ascii="Cambria Math" w:hAnsi="Cambria Math"/>
                <w:szCs w:val="21"/>
                <w:highlight w:val="none"/>
              </w:rPr>
            </m:ctrlPr>
          </m:e>
          <m:sub>
            <m:ctrlPr>
              <w:rPr>
                <w:rFonts w:ascii="Cambria Math" w:hAnsi="Cambria Math"/>
                <w:szCs w:val="21"/>
                <w:highlight w:val="none"/>
              </w:rPr>
            </m:ctrlPr>
          </m:sub>
        </m:sSub>
      </m:oMath>
      <w:r>
        <w:rPr>
          <w:rFonts w:ascii="Times New Roman"/>
          <w:szCs w:val="21"/>
          <w:highlight w:val="none"/>
        </w:rPr>
        <w:t xml:space="preserve">                       （2）</w:t>
      </w:r>
    </w:p>
    <w:p w14:paraId="0CB5318F">
      <w:pPr>
        <w:pStyle w:val="27"/>
        <w:spacing w:line="276" w:lineRule="auto"/>
        <w:rPr>
          <w:rFonts w:ascii="Times New Roman"/>
          <w:szCs w:val="21"/>
          <w:highlight w:val="none"/>
        </w:rPr>
      </w:pPr>
      <w:r>
        <w:rPr>
          <w:rFonts w:ascii="Times New Roman"/>
          <w:szCs w:val="21"/>
          <w:highlight w:val="none"/>
        </w:rPr>
        <w:t>式中：</w:t>
      </w:r>
    </w:p>
    <w:tbl>
      <w:tblPr>
        <w:tblStyle w:val="3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057"/>
        <w:gridCol w:w="687"/>
        <w:gridCol w:w="8223"/>
      </w:tblGrid>
      <w:tr w14:paraId="293D44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1057" w:type="dxa"/>
          </w:tcPr>
          <w:p w14:paraId="54CE2221">
            <w:pPr>
              <w:pStyle w:val="27"/>
              <w:spacing w:line="276" w:lineRule="auto"/>
              <w:ind w:firstLine="0" w:firstLineChars="0"/>
              <w:jc w:val="right"/>
              <w:rPr>
                <w:rFonts w:ascii="Times New Roman"/>
                <w:i/>
                <w:iCs/>
                <w:szCs w:val="18"/>
                <w:highlight w:val="none"/>
              </w:rPr>
            </w:pPr>
            <w:r>
              <w:rPr>
                <w:rFonts w:ascii="Times New Roman"/>
                <w:i/>
                <w:iCs/>
                <w:szCs w:val="18"/>
                <w:highlight w:val="none"/>
              </w:rPr>
              <w:t>C</w:t>
            </w:r>
            <w:r>
              <w:rPr>
                <w:rFonts w:hint="eastAsia" w:ascii="Times New Roman"/>
                <w:i/>
                <w:iCs/>
                <w:szCs w:val="18"/>
                <w:highlight w:val="none"/>
              </w:rPr>
              <w:t>FP</w:t>
            </w:r>
            <w:r>
              <w:rPr>
                <w:rFonts w:hint="eastAsia" w:ascii="Times New Roman"/>
                <w:i/>
                <w:iCs/>
                <w:szCs w:val="18"/>
                <w:highlight w:val="none"/>
                <w:vertAlign w:val="subscript"/>
              </w:rPr>
              <w:t>A</w:t>
            </w:r>
            <w:r>
              <w:rPr>
                <w:rFonts w:ascii="Times New Roman"/>
                <w:i/>
                <w:iCs/>
                <w:szCs w:val="18"/>
                <w:highlight w:val="none"/>
                <w:vertAlign w:val="subscript"/>
              </w:rPr>
              <w:t>,i</w:t>
            </w:r>
          </w:p>
        </w:tc>
        <w:tc>
          <w:tcPr>
            <w:tcW w:w="687" w:type="dxa"/>
          </w:tcPr>
          <w:p w14:paraId="137AE203">
            <w:pPr>
              <w:pStyle w:val="27"/>
              <w:spacing w:line="276" w:lineRule="auto"/>
              <w:ind w:firstLine="0" w:firstLineChars="0"/>
              <w:rPr>
                <w:rFonts w:ascii="Times New Roman"/>
                <w:szCs w:val="18"/>
                <w:highlight w:val="none"/>
              </w:rPr>
            </w:pPr>
            <w:r>
              <w:rPr>
                <w:rFonts w:ascii="Times New Roman"/>
                <w:szCs w:val="21"/>
                <w:highlight w:val="none"/>
              </w:rPr>
              <w:t>——</w:t>
            </w:r>
          </w:p>
        </w:tc>
        <w:tc>
          <w:tcPr>
            <w:tcW w:w="8223" w:type="dxa"/>
          </w:tcPr>
          <w:p w14:paraId="1A215964">
            <w:pPr>
              <w:pStyle w:val="27"/>
              <w:spacing w:line="276" w:lineRule="auto"/>
              <w:ind w:firstLine="0" w:firstLineChars="0"/>
              <w:rPr>
                <w:rFonts w:ascii="Times New Roman"/>
                <w:szCs w:val="18"/>
                <w:highlight w:val="none"/>
              </w:rPr>
            </w:pPr>
            <w:r>
              <w:rPr>
                <w:rFonts w:ascii="Times New Roman"/>
                <w:szCs w:val="21"/>
                <w:highlight w:val="none"/>
              </w:rPr>
              <w:t>每功能单位（</w:t>
            </w:r>
            <w:r>
              <w:rPr>
                <w:rFonts w:hint="eastAsia" w:ascii="Times New Roman"/>
                <w:szCs w:val="21"/>
                <w:highlight w:val="none"/>
              </w:rPr>
              <w:t>声明单位</w:t>
            </w:r>
            <w:r>
              <w:rPr>
                <w:rFonts w:ascii="Times New Roman"/>
                <w:szCs w:val="21"/>
                <w:highlight w:val="none"/>
              </w:rPr>
              <w:t>）在原料获取阶段的第</w:t>
            </w:r>
            <w:r>
              <w:rPr>
                <w:rFonts w:ascii="Times New Roman"/>
                <w:i/>
                <w:iCs/>
                <w:szCs w:val="21"/>
                <w:highlight w:val="none"/>
              </w:rPr>
              <w:t>i</w:t>
            </w:r>
            <w:r>
              <w:rPr>
                <w:rFonts w:ascii="Times New Roman"/>
                <w:szCs w:val="21"/>
                <w:highlight w:val="none"/>
              </w:rPr>
              <w:t>类温室气体排放量，单位为</w:t>
            </w:r>
            <w:r>
              <w:rPr>
                <w:rFonts w:ascii="Times New Roman"/>
                <w:szCs w:val="18"/>
                <w:highlight w:val="none"/>
              </w:rPr>
              <w:t>千克（kg），</w:t>
            </w:r>
            <w:r>
              <w:rPr>
                <w:rFonts w:ascii="Times New Roman"/>
                <w:szCs w:val="21"/>
                <w:highlight w:val="none"/>
              </w:rPr>
              <w:t>计算方法</w:t>
            </w:r>
            <w:r>
              <w:rPr>
                <w:rFonts w:hint="eastAsia" w:ascii="Times New Roman"/>
                <w:szCs w:val="21"/>
                <w:highlight w:val="none"/>
                <w:lang w:val="en-US" w:eastAsia="zh-CN"/>
              </w:rPr>
              <w:t>见公</w:t>
            </w:r>
            <w:r>
              <w:rPr>
                <w:rFonts w:ascii="Times New Roman"/>
                <w:szCs w:val="21"/>
                <w:highlight w:val="none"/>
              </w:rPr>
              <w:t>式（3）；</w:t>
            </w:r>
          </w:p>
        </w:tc>
      </w:tr>
      <w:tr w14:paraId="00332F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1057" w:type="dxa"/>
          </w:tcPr>
          <w:p w14:paraId="1800F1FC">
            <w:pPr>
              <w:pStyle w:val="27"/>
              <w:spacing w:line="276" w:lineRule="auto"/>
              <w:ind w:firstLine="0" w:firstLineChars="0"/>
              <w:jc w:val="right"/>
              <w:rPr>
                <w:rFonts w:ascii="Times New Roman"/>
                <w:i/>
                <w:iCs/>
                <w:szCs w:val="18"/>
                <w:highlight w:val="none"/>
              </w:rPr>
            </w:pPr>
            <w:r>
              <w:rPr>
                <w:rFonts w:ascii="Times New Roman"/>
                <w:i/>
                <w:iCs/>
                <w:szCs w:val="18"/>
                <w:highlight w:val="none"/>
              </w:rPr>
              <w:t>C</w:t>
            </w:r>
            <w:r>
              <w:rPr>
                <w:rFonts w:hint="eastAsia" w:ascii="Times New Roman"/>
                <w:i/>
                <w:iCs/>
                <w:szCs w:val="18"/>
                <w:highlight w:val="none"/>
              </w:rPr>
              <w:t>FP</w:t>
            </w:r>
            <w:r>
              <w:rPr>
                <w:rFonts w:hint="eastAsia" w:ascii="Times New Roman"/>
                <w:i/>
                <w:iCs/>
                <w:szCs w:val="18"/>
                <w:highlight w:val="none"/>
                <w:vertAlign w:val="subscript"/>
              </w:rPr>
              <w:t>B</w:t>
            </w:r>
            <w:r>
              <w:rPr>
                <w:rFonts w:ascii="Times New Roman"/>
                <w:i/>
                <w:iCs/>
                <w:szCs w:val="18"/>
                <w:highlight w:val="none"/>
                <w:vertAlign w:val="subscript"/>
              </w:rPr>
              <w:t>，i</w:t>
            </w:r>
          </w:p>
        </w:tc>
        <w:tc>
          <w:tcPr>
            <w:tcW w:w="687" w:type="dxa"/>
          </w:tcPr>
          <w:p w14:paraId="40D2284A">
            <w:pPr>
              <w:pStyle w:val="27"/>
              <w:spacing w:line="276" w:lineRule="auto"/>
              <w:ind w:firstLine="0" w:firstLineChars="0"/>
              <w:rPr>
                <w:rFonts w:ascii="Times New Roman"/>
                <w:szCs w:val="18"/>
                <w:highlight w:val="none"/>
              </w:rPr>
            </w:pPr>
            <w:r>
              <w:rPr>
                <w:rFonts w:ascii="Times New Roman"/>
                <w:szCs w:val="21"/>
                <w:highlight w:val="none"/>
              </w:rPr>
              <w:t>——</w:t>
            </w:r>
          </w:p>
        </w:tc>
        <w:tc>
          <w:tcPr>
            <w:tcW w:w="8223" w:type="dxa"/>
          </w:tcPr>
          <w:p w14:paraId="5D241809">
            <w:pPr>
              <w:pStyle w:val="27"/>
              <w:spacing w:line="276" w:lineRule="auto"/>
              <w:ind w:firstLine="0" w:firstLineChars="0"/>
              <w:rPr>
                <w:rFonts w:ascii="Times New Roman"/>
                <w:szCs w:val="18"/>
                <w:highlight w:val="none"/>
              </w:rPr>
            </w:pPr>
            <w:r>
              <w:rPr>
                <w:rFonts w:ascii="Times New Roman"/>
                <w:szCs w:val="21"/>
                <w:highlight w:val="none"/>
              </w:rPr>
              <w:t>每功能单位（</w:t>
            </w:r>
            <w:r>
              <w:rPr>
                <w:rFonts w:hint="eastAsia" w:ascii="Times New Roman"/>
                <w:szCs w:val="21"/>
                <w:highlight w:val="none"/>
              </w:rPr>
              <w:t>声明单位</w:t>
            </w:r>
            <w:r>
              <w:rPr>
                <w:rFonts w:ascii="Times New Roman"/>
                <w:szCs w:val="21"/>
                <w:highlight w:val="none"/>
              </w:rPr>
              <w:t>）在生产阶段的第</w:t>
            </w:r>
            <w:r>
              <w:rPr>
                <w:rFonts w:ascii="Times New Roman"/>
                <w:i/>
                <w:iCs/>
                <w:szCs w:val="21"/>
                <w:highlight w:val="none"/>
              </w:rPr>
              <w:t>i</w:t>
            </w:r>
            <w:r>
              <w:rPr>
                <w:rFonts w:ascii="Times New Roman"/>
                <w:szCs w:val="21"/>
                <w:highlight w:val="none"/>
              </w:rPr>
              <w:t>类温室气体排放量，单位为</w:t>
            </w:r>
            <w:r>
              <w:rPr>
                <w:rFonts w:ascii="Times New Roman"/>
                <w:szCs w:val="18"/>
                <w:highlight w:val="none"/>
              </w:rPr>
              <w:t>千克（kg），</w:t>
            </w:r>
            <w:r>
              <w:rPr>
                <w:rFonts w:ascii="Times New Roman"/>
                <w:szCs w:val="21"/>
                <w:highlight w:val="none"/>
              </w:rPr>
              <w:t>计算方法</w:t>
            </w:r>
            <w:r>
              <w:rPr>
                <w:rFonts w:hint="eastAsia" w:ascii="Times New Roman"/>
                <w:szCs w:val="21"/>
                <w:highlight w:val="none"/>
                <w:lang w:val="en-US" w:eastAsia="zh-CN"/>
              </w:rPr>
              <w:t>见公</w:t>
            </w:r>
            <w:r>
              <w:rPr>
                <w:rFonts w:ascii="Times New Roman"/>
                <w:szCs w:val="21"/>
                <w:highlight w:val="none"/>
              </w:rPr>
              <w:t>式（4）；</w:t>
            </w:r>
          </w:p>
        </w:tc>
      </w:tr>
      <w:tr w14:paraId="192BB7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1057" w:type="dxa"/>
          </w:tcPr>
          <w:p w14:paraId="1D74148F">
            <w:pPr>
              <w:pStyle w:val="27"/>
              <w:spacing w:line="276" w:lineRule="auto"/>
              <w:ind w:firstLine="0" w:firstLineChars="0"/>
              <w:jc w:val="right"/>
              <w:rPr>
                <w:rFonts w:ascii="Times New Roman"/>
                <w:i/>
                <w:iCs/>
                <w:szCs w:val="18"/>
                <w:highlight w:val="none"/>
              </w:rPr>
            </w:pPr>
            <w:r>
              <w:rPr>
                <w:rFonts w:ascii="Times New Roman"/>
                <w:i/>
                <w:iCs/>
                <w:szCs w:val="18"/>
                <w:highlight w:val="none"/>
              </w:rPr>
              <w:t>C</w:t>
            </w:r>
            <w:r>
              <w:rPr>
                <w:rFonts w:hint="eastAsia" w:ascii="Times New Roman"/>
                <w:i/>
                <w:iCs/>
                <w:szCs w:val="18"/>
                <w:highlight w:val="none"/>
              </w:rPr>
              <w:t>FP</w:t>
            </w:r>
            <w:r>
              <w:rPr>
                <w:rFonts w:hint="eastAsia" w:ascii="Times New Roman"/>
                <w:i/>
                <w:iCs/>
                <w:szCs w:val="18"/>
                <w:highlight w:val="none"/>
                <w:vertAlign w:val="subscript"/>
              </w:rPr>
              <w:t>C</w:t>
            </w:r>
            <w:r>
              <w:rPr>
                <w:rFonts w:ascii="Times New Roman"/>
                <w:i/>
                <w:iCs/>
                <w:szCs w:val="18"/>
                <w:highlight w:val="none"/>
                <w:vertAlign w:val="subscript"/>
              </w:rPr>
              <w:t>，i</w:t>
            </w:r>
          </w:p>
        </w:tc>
        <w:tc>
          <w:tcPr>
            <w:tcW w:w="687" w:type="dxa"/>
          </w:tcPr>
          <w:p w14:paraId="53562419">
            <w:pPr>
              <w:pStyle w:val="27"/>
              <w:spacing w:line="276" w:lineRule="auto"/>
              <w:ind w:firstLine="0" w:firstLineChars="0"/>
              <w:rPr>
                <w:rFonts w:ascii="Times New Roman"/>
                <w:szCs w:val="18"/>
                <w:highlight w:val="none"/>
              </w:rPr>
            </w:pPr>
            <w:r>
              <w:rPr>
                <w:rFonts w:ascii="Times New Roman"/>
                <w:szCs w:val="21"/>
                <w:highlight w:val="none"/>
              </w:rPr>
              <w:t>——</w:t>
            </w:r>
          </w:p>
        </w:tc>
        <w:tc>
          <w:tcPr>
            <w:tcW w:w="8223" w:type="dxa"/>
          </w:tcPr>
          <w:p w14:paraId="164AC9DD">
            <w:pPr>
              <w:pStyle w:val="27"/>
              <w:spacing w:line="276" w:lineRule="auto"/>
              <w:ind w:firstLine="0" w:firstLineChars="0"/>
              <w:rPr>
                <w:rFonts w:ascii="Times New Roman"/>
                <w:szCs w:val="18"/>
                <w:highlight w:val="none"/>
              </w:rPr>
            </w:pPr>
            <w:r>
              <w:rPr>
                <w:rFonts w:ascii="Times New Roman"/>
                <w:szCs w:val="21"/>
                <w:highlight w:val="none"/>
              </w:rPr>
              <w:t>每功能单位（</w:t>
            </w:r>
            <w:r>
              <w:rPr>
                <w:rFonts w:hint="eastAsia" w:ascii="Times New Roman"/>
                <w:szCs w:val="21"/>
                <w:highlight w:val="none"/>
              </w:rPr>
              <w:t>声明单位</w:t>
            </w:r>
            <w:r>
              <w:rPr>
                <w:rFonts w:ascii="Times New Roman"/>
                <w:szCs w:val="21"/>
                <w:highlight w:val="none"/>
              </w:rPr>
              <w:t>）在分销阶段的第</w:t>
            </w:r>
            <w:r>
              <w:rPr>
                <w:rFonts w:ascii="Times New Roman"/>
                <w:i/>
                <w:iCs/>
                <w:szCs w:val="21"/>
                <w:highlight w:val="none"/>
              </w:rPr>
              <w:t>i</w:t>
            </w:r>
            <w:r>
              <w:rPr>
                <w:rFonts w:ascii="Times New Roman"/>
                <w:szCs w:val="21"/>
                <w:highlight w:val="none"/>
              </w:rPr>
              <w:t>类温室气体排放量，单位为</w:t>
            </w:r>
            <w:r>
              <w:rPr>
                <w:rFonts w:ascii="Times New Roman"/>
                <w:szCs w:val="18"/>
                <w:highlight w:val="none"/>
              </w:rPr>
              <w:t>千克（kg）</w:t>
            </w:r>
            <w:r>
              <w:rPr>
                <w:rFonts w:hint="eastAsia" w:ascii="Times New Roman"/>
                <w:szCs w:val="21"/>
                <w:highlight w:val="none"/>
                <w:lang w:eastAsia="zh-CN"/>
              </w:rPr>
              <w:t>，</w:t>
            </w:r>
            <w:r>
              <w:rPr>
                <w:rFonts w:ascii="Times New Roman"/>
                <w:szCs w:val="21"/>
                <w:highlight w:val="none"/>
              </w:rPr>
              <w:t>计算方法</w:t>
            </w:r>
            <w:r>
              <w:rPr>
                <w:rFonts w:hint="eastAsia" w:ascii="Times New Roman"/>
                <w:szCs w:val="21"/>
                <w:highlight w:val="none"/>
                <w:lang w:val="en-US" w:eastAsia="zh-CN"/>
              </w:rPr>
              <w:t>见公</w:t>
            </w:r>
            <w:r>
              <w:rPr>
                <w:rFonts w:ascii="Times New Roman"/>
                <w:szCs w:val="21"/>
                <w:highlight w:val="none"/>
              </w:rPr>
              <w:t>式（</w:t>
            </w:r>
            <w:r>
              <w:rPr>
                <w:rFonts w:hint="eastAsia" w:ascii="Times New Roman"/>
                <w:szCs w:val="21"/>
                <w:highlight w:val="none"/>
                <w:lang w:val="en-US" w:eastAsia="zh-CN"/>
              </w:rPr>
              <w:t>5</w:t>
            </w:r>
            <w:r>
              <w:rPr>
                <w:rFonts w:ascii="Times New Roman"/>
                <w:szCs w:val="21"/>
                <w:highlight w:val="none"/>
              </w:rPr>
              <w:t>）；</w:t>
            </w:r>
          </w:p>
        </w:tc>
      </w:tr>
      <w:tr w14:paraId="39D7EE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1057" w:type="dxa"/>
          </w:tcPr>
          <w:p w14:paraId="272D9CB0">
            <w:pPr>
              <w:pStyle w:val="27"/>
              <w:spacing w:line="276" w:lineRule="auto"/>
              <w:ind w:firstLine="0" w:firstLineChars="0"/>
              <w:jc w:val="right"/>
              <w:rPr>
                <w:rFonts w:ascii="Times New Roman"/>
                <w:i/>
                <w:iCs/>
                <w:szCs w:val="18"/>
                <w:highlight w:val="none"/>
              </w:rPr>
            </w:pPr>
            <w:r>
              <w:rPr>
                <w:rFonts w:ascii="Times New Roman"/>
                <w:i/>
                <w:iCs/>
                <w:szCs w:val="18"/>
                <w:highlight w:val="none"/>
              </w:rPr>
              <w:t>C</w:t>
            </w:r>
            <w:r>
              <w:rPr>
                <w:rFonts w:hint="eastAsia" w:ascii="Times New Roman"/>
                <w:i/>
                <w:iCs/>
                <w:szCs w:val="18"/>
                <w:highlight w:val="none"/>
              </w:rPr>
              <w:t>FP</w:t>
            </w:r>
            <w:r>
              <w:rPr>
                <w:rFonts w:hint="eastAsia" w:ascii="Times New Roman"/>
                <w:i/>
                <w:iCs/>
                <w:szCs w:val="18"/>
                <w:highlight w:val="none"/>
                <w:vertAlign w:val="subscript"/>
              </w:rPr>
              <w:t>D</w:t>
            </w:r>
            <w:r>
              <w:rPr>
                <w:rFonts w:ascii="Times New Roman"/>
                <w:i/>
                <w:iCs/>
                <w:szCs w:val="18"/>
                <w:highlight w:val="none"/>
                <w:vertAlign w:val="subscript"/>
              </w:rPr>
              <w:t>，i</w:t>
            </w:r>
          </w:p>
        </w:tc>
        <w:tc>
          <w:tcPr>
            <w:tcW w:w="687" w:type="dxa"/>
          </w:tcPr>
          <w:p w14:paraId="022AB2DC">
            <w:pPr>
              <w:pStyle w:val="27"/>
              <w:spacing w:line="276" w:lineRule="auto"/>
              <w:ind w:firstLine="0" w:firstLineChars="0"/>
              <w:rPr>
                <w:rFonts w:ascii="Times New Roman"/>
                <w:szCs w:val="18"/>
                <w:highlight w:val="none"/>
              </w:rPr>
            </w:pPr>
            <w:r>
              <w:rPr>
                <w:rFonts w:ascii="Times New Roman"/>
                <w:szCs w:val="21"/>
                <w:highlight w:val="none"/>
              </w:rPr>
              <w:t>——</w:t>
            </w:r>
          </w:p>
        </w:tc>
        <w:tc>
          <w:tcPr>
            <w:tcW w:w="8223" w:type="dxa"/>
          </w:tcPr>
          <w:p w14:paraId="5FD3C76F">
            <w:pPr>
              <w:pStyle w:val="27"/>
              <w:spacing w:line="276" w:lineRule="auto"/>
              <w:ind w:firstLine="0" w:firstLineChars="0"/>
              <w:rPr>
                <w:rFonts w:ascii="Times New Roman"/>
                <w:szCs w:val="18"/>
                <w:highlight w:val="none"/>
              </w:rPr>
            </w:pPr>
            <w:r>
              <w:rPr>
                <w:rFonts w:ascii="Times New Roman"/>
                <w:szCs w:val="21"/>
                <w:highlight w:val="none"/>
              </w:rPr>
              <w:t>每功能单位（</w:t>
            </w:r>
            <w:r>
              <w:rPr>
                <w:rFonts w:hint="eastAsia" w:ascii="Times New Roman"/>
                <w:szCs w:val="21"/>
                <w:highlight w:val="none"/>
              </w:rPr>
              <w:t>声明单位</w:t>
            </w:r>
            <w:r>
              <w:rPr>
                <w:rFonts w:ascii="Times New Roman"/>
                <w:szCs w:val="21"/>
                <w:highlight w:val="none"/>
              </w:rPr>
              <w:t>）在使用阶段的第</w:t>
            </w:r>
            <w:r>
              <w:rPr>
                <w:rFonts w:ascii="Times New Roman"/>
                <w:i/>
                <w:iCs/>
                <w:szCs w:val="21"/>
                <w:highlight w:val="none"/>
              </w:rPr>
              <w:t>i</w:t>
            </w:r>
            <w:r>
              <w:rPr>
                <w:rFonts w:ascii="Times New Roman"/>
                <w:szCs w:val="21"/>
                <w:highlight w:val="none"/>
              </w:rPr>
              <w:t>类温室气体排放量，单位为</w:t>
            </w:r>
            <w:r>
              <w:rPr>
                <w:rFonts w:ascii="Times New Roman"/>
                <w:szCs w:val="18"/>
                <w:highlight w:val="none"/>
              </w:rPr>
              <w:t>千克（kg）</w:t>
            </w:r>
            <w:r>
              <w:rPr>
                <w:rFonts w:hint="eastAsia" w:ascii="Times New Roman"/>
                <w:szCs w:val="18"/>
                <w:highlight w:val="none"/>
                <w:lang w:eastAsia="zh-CN"/>
              </w:rPr>
              <w:t>，</w:t>
            </w:r>
            <w:r>
              <w:rPr>
                <w:rFonts w:ascii="Times New Roman"/>
                <w:szCs w:val="21"/>
                <w:highlight w:val="none"/>
              </w:rPr>
              <w:t>计算方法</w:t>
            </w:r>
            <w:r>
              <w:rPr>
                <w:rFonts w:hint="eastAsia" w:ascii="Times New Roman"/>
                <w:szCs w:val="21"/>
                <w:highlight w:val="none"/>
                <w:lang w:val="en-US" w:eastAsia="zh-CN"/>
              </w:rPr>
              <w:t>见公</w:t>
            </w:r>
            <w:r>
              <w:rPr>
                <w:rFonts w:ascii="Times New Roman"/>
                <w:szCs w:val="21"/>
                <w:highlight w:val="none"/>
              </w:rPr>
              <w:t>式（</w:t>
            </w:r>
            <w:r>
              <w:rPr>
                <w:rFonts w:hint="eastAsia" w:ascii="Times New Roman"/>
                <w:szCs w:val="21"/>
                <w:highlight w:val="none"/>
                <w:lang w:val="en-US" w:eastAsia="zh-CN"/>
              </w:rPr>
              <w:t>6</w:t>
            </w:r>
            <w:r>
              <w:rPr>
                <w:rFonts w:ascii="Times New Roman"/>
                <w:szCs w:val="21"/>
                <w:highlight w:val="none"/>
              </w:rPr>
              <w:t>）</w:t>
            </w:r>
            <w:r>
              <w:rPr>
                <w:rFonts w:ascii="Times New Roman"/>
                <w:szCs w:val="18"/>
                <w:highlight w:val="none"/>
              </w:rPr>
              <w:t>；</w:t>
            </w:r>
          </w:p>
        </w:tc>
      </w:tr>
      <w:tr w14:paraId="6AFC1B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1057" w:type="dxa"/>
          </w:tcPr>
          <w:p w14:paraId="46D4F21C">
            <w:pPr>
              <w:pStyle w:val="27"/>
              <w:spacing w:line="276" w:lineRule="auto"/>
              <w:ind w:firstLine="0" w:firstLineChars="0"/>
              <w:jc w:val="right"/>
              <w:rPr>
                <w:rFonts w:ascii="Times New Roman"/>
                <w:i/>
                <w:iCs/>
                <w:szCs w:val="18"/>
                <w:highlight w:val="none"/>
              </w:rPr>
            </w:pPr>
            <w:r>
              <w:rPr>
                <w:rFonts w:ascii="Times New Roman"/>
                <w:i/>
                <w:iCs/>
                <w:szCs w:val="18"/>
                <w:highlight w:val="none"/>
              </w:rPr>
              <w:t>C</w:t>
            </w:r>
            <w:r>
              <w:rPr>
                <w:rFonts w:hint="eastAsia" w:ascii="Times New Roman"/>
                <w:i/>
                <w:iCs/>
                <w:szCs w:val="18"/>
                <w:highlight w:val="none"/>
              </w:rPr>
              <w:t>FP</w:t>
            </w:r>
            <w:r>
              <w:rPr>
                <w:rFonts w:hint="eastAsia" w:ascii="Times New Roman"/>
                <w:i/>
                <w:iCs/>
                <w:szCs w:val="18"/>
                <w:highlight w:val="none"/>
                <w:vertAlign w:val="subscript"/>
              </w:rPr>
              <w:t>E</w:t>
            </w:r>
            <w:r>
              <w:rPr>
                <w:rFonts w:ascii="Times New Roman"/>
                <w:i/>
                <w:iCs/>
                <w:szCs w:val="18"/>
                <w:highlight w:val="none"/>
                <w:vertAlign w:val="subscript"/>
              </w:rPr>
              <w:t>,i</w:t>
            </w:r>
          </w:p>
        </w:tc>
        <w:tc>
          <w:tcPr>
            <w:tcW w:w="687" w:type="dxa"/>
          </w:tcPr>
          <w:p w14:paraId="00D01B72">
            <w:pPr>
              <w:pStyle w:val="27"/>
              <w:spacing w:line="276" w:lineRule="auto"/>
              <w:ind w:firstLine="0" w:firstLineChars="0"/>
              <w:rPr>
                <w:rFonts w:ascii="Times New Roman"/>
                <w:szCs w:val="18"/>
                <w:highlight w:val="none"/>
              </w:rPr>
            </w:pPr>
            <w:r>
              <w:rPr>
                <w:rFonts w:ascii="Times New Roman"/>
                <w:szCs w:val="21"/>
                <w:highlight w:val="none"/>
              </w:rPr>
              <w:t>——</w:t>
            </w:r>
          </w:p>
        </w:tc>
        <w:tc>
          <w:tcPr>
            <w:tcW w:w="8223" w:type="dxa"/>
          </w:tcPr>
          <w:p w14:paraId="112DED51">
            <w:pPr>
              <w:pStyle w:val="27"/>
              <w:spacing w:line="276" w:lineRule="auto"/>
              <w:ind w:firstLine="0" w:firstLineChars="0"/>
              <w:rPr>
                <w:rFonts w:ascii="Times New Roman"/>
                <w:szCs w:val="18"/>
                <w:highlight w:val="none"/>
              </w:rPr>
            </w:pPr>
            <w:r>
              <w:rPr>
                <w:rFonts w:ascii="Times New Roman"/>
                <w:szCs w:val="21"/>
                <w:highlight w:val="none"/>
              </w:rPr>
              <w:t>每功能单位（</w:t>
            </w:r>
            <w:r>
              <w:rPr>
                <w:rFonts w:hint="eastAsia" w:ascii="Times New Roman"/>
                <w:szCs w:val="21"/>
                <w:highlight w:val="none"/>
              </w:rPr>
              <w:t>声明单位</w:t>
            </w:r>
            <w:r>
              <w:rPr>
                <w:rFonts w:ascii="Times New Roman"/>
                <w:szCs w:val="21"/>
                <w:highlight w:val="none"/>
              </w:rPr>
              <w:t>）在生命末期阶段的第</w:t>
            </w:r>
            <w:r>
              <w:rPr>
                <w:rFonts w:ascii="Times New Roman"/>
                <w:i/>
                <w:iCs/>
                <w:szCs w:val="21"/>
                <w:highlight w:val="none"/>
              </w:rPr>
              <w:t>i</w:t>
            </w:r>
            <w:r>
              <w:rPr>
                <w:rFonts w:ascii="Times New Roman"/>
                <w:szCs w:val="21"/>
                <w:highlight w:val="none"/>
              </w:rPr>
              <w:t>类温室气体排放量，单位为</w:t>
            </w:r>
            <w:r>
              <w:rPr>
                <w:rFonts w:ascii="Times New Roman"/>
                <w:szCs w:val="18"/>
                <w:highlight w:val="none"/>
              </w:rPr>
              <w:t>千克（kg）</w:t>
            </w:r>
            <w:r>
              <w:rPr>
                <w:rFonts w:ascii="Times New Roman"/>
                <w:szCs w:val="21"/>
                <w:highlight w:val="none"/>
              </w:rPr>
              <w:t>，计算方法</w:t>
            </w:r>
            <w:r>
              <w:rPr>
                <w:rFonts w:hint="eastAsia" w:ascii="Times New Roman"/>
                <w:szCs w:val="21"/>
                <w:highlight w:val="none"/>
                <w:lang w:val="en-US" w:eastAsia="zh-CN"/>
              </w:rPr>
              <w:t>见公</w:t>
            </w:r>
            <w:r>
              <w:rPr>
                <w:rFonts w:ascii="Times New Roman"/>
                <w:szCs w:val="21"/>
                <w:highlight w:val="none"/>
              </w:rPr>
              <w:t>式（</w:t>
            </w:r>
            <w:r>
              <w:rPr>
                <w:rFonts w:hint="eastAsia" w:ascii="Times New Roman"/>
                <w:szCs w:val="21"/>
                <w:highlight w:val="none"/>
                <w:lang w:val="en-US" w:eastAsia="zh-CN"/>
              </w:rPr>
              <w:t>7</w:t>
            </w:r>
            <w:r>
              <w:rPr>
                <w:rFonts w:ascii="Times New Roman"/>
                <w:szCs w:val="21"/>
                <w:highlight w:val="none"/>
              </w:rPr>
              <w:t>）</w:t>
            </w:r>
            <w:r>
              <w:rPr>
                <w:rFonts w:hint="eastAsia" w:ascii="Times New Roman"/>
                <w:szCs w:val="21"/>
                <w:highlight w:val="none"/>
              </w:rPr>
              <w:t>。</w:t>
            </w:r>
          </w:p>
        </w:tc>
      </w:tr>
    </w:tbl>
    <w:p w14:paraId="0C6669C2">
      <w:pPr>
        <w:pStyle w:val="47"/>
        <w:numPr>
          <w:ilvl w:val="2"/>
          <w:numId w:val="11"/>
        </w:numPr>
        <w:adjustRightInd w:val="0"/>
        <w:snapToGrid w:val="0"/>
        <w:spacing w:beforeLines="0" w:afterLines="0" w:line="360" w:lineRule="exact"/>
        <w:ind w:left="0" w:firstLine="0" w:firstLineChars="0"/>
        <w:jc w:val="both"/>
        <w:outlineLvl w:val="9"/>
        <w:rPr>
          <w:rFonts w:ascii="Times New Roman" w:eastAsia="宋体"/>
          <w:highlight w:val="none"/>
        </w:rPr>
      </w:pPr>
      <w:r>
        <w:rPr>
          <w:rFonts w:ascii="Times New Roman" w:eastAsia="宋体"/>
        </w:rPr>
        <w:t>原料获取阶段</w:t>
      </w:r>
      <w:r>
        <w:rPr>
          <w:rFonts w:hint="default" w:ascii="Times New Roman" w:eastAsia="宋体"/>
          <w:lang w:eastAsia="zh-CN"/>
        </w:rPr>
        <w:t>（</w:t>
      </w:r>
      <w:r>
        <w:rPr>
          <w:rFonts w:hint="default" w:ascii="Times New Roman" w:eastAsia="宋体"/>
          <w:lang w:val="en-US" w:eastAsia="zh-CN"/>
        </w:rPr>
        <w:t>A</w:t>
      </w:r>
      <w:r>
        <w:rPr>
          <w:rFonts w:hint="default" w:ascii="Times New Roman" w:eastAsia="宋体"/>
          <w:lang w:eastAsia="zh-CN"/>
        </w:rPr>
        <w:t>）</w:t>
      </w:r>
    </w:p>
    <w:p w14:paraId="7F683099">
      <w:pPr>
        <w:pStyle w:val="47"/>
        <w:numPr>
          <w:ilvl w:val="1"/>
          <w:numId w:val="0"/>
        </w:numPr>
        <w:adjustRightInd w:val="0"/>
        <w:snapToGrid w:val="0"/>
        <w:spacing w:beforeLines="0" w:afterLines="0" w:line="360" w:lineRule="exact"/>
        <w:ind w:leftChars="0" w:firstLine="420" w:firstLineChars="200"/>
        <w:jc w:val="both"/>
        <w:outlineLvl w:val="9"/>
        <w:rPr>
          <w:rFonts w:ascii="Times New Roman" w:eastAsia="宋体"/>
          <w:highlight w:val="none"/>
        </w:rPr>
      </w:pPr>
      <w:r>
        <w:rPr>
          <w:rFonts w:hint="eastAsia" w:ascii="Times New Roman" w:eastAsia="宋体"/>
          <w:highlight w:val="none"/>
        </w:rPr>
        <w:t>每功能单位（声明单位）在原料获取阶段的第i类温室气体排放量</w:t>
      </w:r>
      <w:r>
        <w:rPr>
          <w:rFonts w:hint="eastAsia" w:ascii="Times New Roman" w:hAnsi="Times New Roman" w:eastAsia="宋体" w:cs="Times New Roman"/>
        </w:rPr>
        <w:t>按式（3）进行计算</w:t>
      </w:r>
      <w:r>
        <w:rPr>
          <w:rFonts w:ascii="Times New Roman" w:eastAsia="宋体"/>
          <w:highlight w:val="none"/>
        </w:rPr>
        <w:t>：</w:t>
      </w:r>
    </w:p>
    <w:p w14:paraId="38A74BBB">
      <w:pPr>
        <w:pStyle w:val="27"/>
        <w:spacing w:line="276" w:lineRule="auto"/>
        <w:ind w:firstLine="0" w:firstLineChars="0"/>
        <w:jc w:val="right"/>
        <w:rPr>
          <w:rFonts w:ascii="Times New Roman"/>
          <w:highlight w:val="none"/>
        </w:rPr>
      </w:pPr>
      <m:oMath>
        <m:sSub>
          <m:sSubPr>
            <m:ctrlPr>
              <w:rPr>
                <w:rFonts w:ascii="Cambria Math" w:hAnsi="Cambria Math"/>
                <w:i/>
                <w:highlight w:val="none"/>
              </w:rPr>
            </m:ctrlPr>
          </m:sSubPr>
          <m:e>
            <m:r>
              <m:rPr/>
              <w:rPr>
                <w:rFonts w:ascii="Cambria Math" w:hAnsi="Cambria Math"/>
                <w:highlight w:val="none"/>
              </w:rPr>
              <m:t>CFP</m:t>
            </m:r>
            <m:ctrlPr>
              <w:rPr>
                <w:rFonts w:ascii="Cambria Math" w:hAnsi="Cambria Math"/>
                <w:i/>
                <w:highlight w:val="none"/>
              </w:rPr>
            </m:ctrlPr>
          </m:e>
          <m:sub>
            <m:r>
              <m:rPr/>
              <w:rPr>
                <w:rFonts w:ascii="Cambria Math" w:hAnsi="Cambria Math"/>
                <w:highlight w:val="none"/>
              </w:rPr>
              <m:t>A,i</m:t>
            </m:r>
            <m:ctrlPr>
              <w:rPr>
                <w:rFonts w:ascii="Cambria Math" w:hAnsi="Cambria Math"/>
                <w:i/>
                <w:highlight w:val="none"/>
              </w:rPr>
            </m:ctrlPr>
          </m:sub>
        </m:sSub>
        <m:r>
          <m:rPr/>
          <w:rPr>
            <w:rFonts w:ascii="Cambria Math" w:hAnsi="Cambria Math"/>
            <w:highlight w:val="none"/>
          </w:rPr>
          <m:t>=</m:t>
        </m:r>
        <m:nary>
          <m:naryPr>
            <m:chr m:val="∑"/>
            <m:subHide m:val="1"/>
            <m:supHide m:val="1"/>
            <m:ctrlPr>
              <w:rPr>
                <w:rFonts w:ascii="Cambria Math" w:hAnsi="Cambria Math"/>
                <w:i/>
                <w:highlight w:val="none"/>
              </w:rPr>
            </m:ctrlPr>
          </m:naryPr>
          <m:sub>
            <m:ctrlPr>
              <w:rPr>
                <w:rFonts w:ascii="Cambria Math" w:hAnsi="Cambria Math"/>
                <w:i/>
                <w:highlight w:val="none"/>
              </w:rPr>
            </m:ctrlPr>
          </m:sub>
          <m:sup>
            <m:ctrlPr>
              <w:rPr>
                <w:rFonts w:ascii="Cambria Math" w:hAnsi="Cambria Math"/>
                <w:i/>
                <w:highlight w:val="none"/>
              </w:rPr>
            </m:ctrlPr>
          </m:sup>
          <m:e>
            <m:d>
              <m:dPr>
                <m:ctrlPr>
                  <w:rPr>
                    <w:rFonts w:ascii="Cambria Math" w:hAnsi="Cambria Math"/>
                    <w:i/>
                    <w:highlight w:val="none"/>
                  </w:rPr>
                </m:ctrlPr>
              </m:dPr>
              <m:e>
                <m:sSub>
                  <m:sSubPr>
                    <m:ctrlPr>
                      <w:rPr>
                        <w:rFonts w:ascii="Cambria Math" w:hAnsi="Cambria Math"/>
                        <w:i/>
                        <w:highlight w:val="none"/>
                      </w:rPr>
                    </m:ctrlPr>
                  </m:sSubPr>
                  <m:e>
                    <m:r>
                      <m:rPr/>
                      <w:rPr>
                        <w:rFonts w:ascii="Cambria Math" w:hAnsi="Cambria Math"/>
                        <w:highlight w:val="none"/>
                      </w:rPr>
                      <m:t>M</m:t>
                    </m:r>
                    <m:ctrlPr>
                      <w:rPr>
                        <w:rFonts w:ascii="Cambria Math" w:hAnsi="Cambria Math"/>
                        <w:i/>
                        <w:highlight w:val="none"/>
                      </w:rPr>
                    </m:ctrlPr>
                  </m:e>
                  <m:sub>
                    <m:r>
                      <m:rPr>
                        <m:nor/>
                      </m:rPr>
                      <w:rPr>
                        <w:rFonts w:hint="default" w:ascii="Cambria Math" w:hAnsi="Cambria Math"/>
                        <w:i/>
                        <w:highlight w:val="none"/>
                        <w:lang w:val="en-US" w:eastAsia="zh-CN"/>
                      </w:rPr>
                      <m:t>A,</m:t>
                    </m:r>
                    <m:r>
                      <m:rPr>
                        <m:nor/>
                      </m:rPr>
                      <w:rPr>
                        <w:rFonts w:ascii="Cambria Math" w:hAnsi="Cambria Math"/>
                        <w:i/>
                        <w:highlight w:val="none"/>
                      </w:rPr>
                      <m:t>j</m:t>
                    </m:r>
                    <m:ctrlPr>
                      <w:rPr>
                        <w:rFonts w:ascii="Cambria Math" w:hAnsi="Cambria Math"/>
                        <w:i/>
                        <w:highlight w:val="none"/>
                      </w:rPr>
                    </m:ctrlPr>
                  </m:sub>
                </m:sSub>
                <m:r>
                  <m:rPr/>
                  <w:rPr>
                    <w:rFonts w:ascii="Cambria Math" w:hAnsi="Cambria Math"/>
                    <w:highlight w:val="none"/>
                  </w:rPr>
                  <m:t>×CE</m:t>
                </m:r>
                <m:sSub>
                  <m:sSubPr>
                    <m:ctrlPr>
                      <w:rPr>
                        <w:rFonts w:ascii="Cambria Math" w:hAnsi="Cambria Math"/>
                        <w:i/>
                        <w:highlight w:val="none"/>
                      </w:rPr>
                    </m:ctrlPr>
                  </m:sSubPr>
                  <m:e>
                    <m:r>
                      <m:rPr/>
                      <w:rPr>
                        <w:rFonts w:ascii="Cambria Math" w:hAnsi="Cambria Math"/>
                        <w:highlight w:val="none"/>
                      </w:rPr>
                      <m:t>F</m:t>
                    </m:r>
                    <m:ctrlPr>
                      <w:rPr>
                        <w:rFonts w:ascii="Cambria Math" w:hAnsi="Cambria Math"/>
                        <w:i/>
                        <w:highlight w:val="none"/>
                      </w:rPr>
                    </m:ctrlPr>
                  </m:e>
                  <m:sub>
                    <m:r>
                      <m:rPr>
                        <m:nor/>
                      </m:rPr>
                      <w:rPr>
                        <w:rFonts w:hint="default" w:ascii="Cambria Math" w:hAnsi="Cambria Math"/>
                        <w:i/>
                        <w:highlight w:val="none"/>
                        <w:lang w:val="en-US" w:eastAsia="zh-CN"/>
                      </w:rPr>
                      <m:t>A,</m:t>
                    </m:r>
                    <m:r>
                      <m:rPr>
                        <m:nor/>
                      </m:rPr>
                      <w:rPr>
                        <w:rFonts w:ascii="Cambria Math" w:hAnsi="Cambria Math"/>
                        <w:i/>
                        <w:highlight w:val="none"/>
                      </w:rPr>
                      <m:t>i,j</m:t>
                    </m:r>
                    <m:ctrlPr>
                      <w:rPr>
                        <w:rFonts w:ascii="Cambria Math" w:hAnsi="Cambria Math"/>
                        <w:i/>
                        <w:highlight w:val="none"/>
                      </w:rPr>
                    </m:ctrlPr>
                  </m:sub>
                </m:sSub>
                <m:ctrlPr>
                  <w:rPr>
                    <w:rFonts w:ascii="Cambria Math" w:hAnsi="Cambria Math"/>
                    <w:i/>
                    <w:highlight w:val="none"/>
                  </w:rPr>
                </m:ctrlPr>
              </m:e>
            </m:d>
            <m:ctrlPr>
              <w:rPr>
                <w:rFonts w:ascii="Cambria Math" w:hAnsi="Cambria Math"/>
                <w:i/>
                <w:highlight w:val="none"/>
              </w:rPr>
            </m:ctrlPr>
          </m:e>
        </m:nary>
      </m:oMath>
      <w:r>
        <w:rPr>
          <w:rFonts w:ascii="Times New Roman"/>
          <w:highlight w:val="none"/>
        </w:rPr>
        <w:t>+</w:t>
      </w:r>
      <m:oMath>
        <m:nary>
          <m:naryPr>
            <m:chr m:val="∑"/>
            <m:subHide m:val="1"/>
            <m:supHide m:val="1"/>
            <m:ctrlPr>
              <w:rPr>
                <w:rFonts w:ascii="Cambria Math" w:hAnsi="Cambria Math"/>
                <w:i/>
                <w:highlight w:val="none"/>
              </w:rPr>
            </m:ctrlPr>
          </m:naryPr>
          <m:sub>
            <m:ctrlPr>
              <w:rPr>
                <w:rFonts w:ascii="Cambria Math" w:hAnsi="Cambria Math"/>
                <w:i/>
                <w:highlight w:val="none"/>
              </w:rPr>
            </m:ctrlPr>
          </m:sub>
          <m:sup>
            <m:ctrlPr>
              <w:rPr>
                <w:rFonts w:ascii="Cambria Math" w:hAnsi="Cambria Math"/>
                <w:i/>
                <w:highlight w:val="none"/>
              </w:rPr>
            </m:ctrlPr>
          </m:sup>
          <m:e>
            <m:d>
              <m:dPr>
                <m:ctrlPr>
                  <w:rPr>
                    <w:rFonts w:ascii="Cambria Math" w:hAnsi="Cambria Math"/>
                    <w:i/>
                    <w:highlight w:val="none"/>
                  </w:rPr>
                </m:ctrlPr>
              </m:dPr>
              <m:e>
                <m:sSub>
                  <m:sSubPr>
                    <m:ctrlPr>
                      <w:rPr>
                        <w:rFonts w:ascii="Cambria Math" w:hAnsi="Cambria Math"/>
                        <w:i/>
                        <w:highlight w:val="none"/>
                      </w:rPr>
                    </m:ctrlPr>
                  </m:sSubPr>
                  <m:e>
                    <m:r>
                      <m:rPr/>
                      <w:rPr>
                        <w:rFonts w:ascii="Cambria Math" w:hAnsi="Cambria Math"/>
                        <w:highlight w:val="none"/>
                      </w:rPr>
                      <m:t>M</m:t>
                    </m:r>
                    <m:ctrlPr>
                      <w:rPr>
                        <w:rFonts w:ascii="Cambria Math" w:hAnsi="Cambria Math"/>
                        <w:i/>
                        <w:highlight w:val="none"/>
                      </w:rPr>
                    </m:ctrlPr>
                  </m:e>
                  <m:sub>
                    <m:r>
                      <m:rPr>
                        <m:nor/>
                      </m:rPr>
                      <w:rPr>
                        <w:rFonts w:hint="default" w:ascii="Cambria Math" w:hAnsi="Cambria Math"/>
                        <w:i/>
                        <w:highlight w:val="none"/>
                        <w:lang w:val="en-US" w:eastAsia="zh-CN"/>
                      </w:rPr>
                      <m:t>A,</m:t>
                    </m:r>
                    <m:r>
                      <m:rPr>
                        <m:nor/>
                      </m:rPr>
                      <w:rPr>
                        <w:rFonts w:ascii="Cambria Math" w:hAnsi="Cambria Math"/>
                        <w:i/>
                        <w:highlight w:val="none"/>
                      </w:rPr>
                      <m:t>j</m:t>
                    </m:r>
                    <m:r>
                      <m:rPr>
                        <m:nor/>
                      </m:rPr>
                      <w:rPr>
                        <w:rFonts w:hint="default" w:ascii="Cambria Math" w:hAnsi="Cambria Math"/>
                        <w:i/>
                        <w:highlight w:val="none"/>
                        <w:lang w:val="en-US" w:eastAsia="zh-CN"/>
                      </w:rPr>
                      <m:t>,k</m:t>
                    </m:r>
                    <m:ctrlPr>
                      <w:rPr>
                        <w:rFonts w:ascii="Cambria Math" w:hAnsi="Cambria Math"/>
                        <w:i/>
                        <w:highlight w:val="none"/>
                      </w:rPr>
                    </m:ctrlPr>
                  </m:sub>
                </m:sSub>
                <m:r>
                  <m:rPr/>
                  <w:rPr>
                    <w:rFonts w:ascii="Cambria Math" w:hAnsi="Cambria Math"/>
                    <w:highlight w:val="none"/>
                  </w:rPr>
                  <m:t>×</m:t>
                </m:r>
                <m:sSub>
                  <m:sSubPr>
                    <m:ctrlPr>
                      <w:rPr>
                        <w:rFonts w:ascii="Cambria Math" w:hAnsi="Cambria Math"/>
                        <w:i/>
                        <w:iCs w:val="0"/>
                        <w:highlight w:val="none"/>
                      </w:rPr>
                    </m:ctrlPr>
                  </m:sSubPr>
                  <m:e>
                    <m:r>
                      <m:rPr/>
                      <w:rPr>
                        <w:rFonts w:hint="default" w:ascii="Cambria Math" w:hAnsi="Cambria Math"/>
                        <w:highlight w:val="none"/>
                      </w:rPr>
                      <m:t>D</m:t>
                    </m:r>
                    <m:ctrlPr>
                      <w:rPr>
                        <w:rFonts w:ascii="Cambria Math" w:hAnsi="Cambria Math"/>
                        <w:i/>
                        <w:iCs w:val="0"/>
                        <w:highlight w:val="none"/>
                      </w:rPr>
                    </m:ctrlPr>
                  </m:e>
                  <m:sub>
                    <m:r>
                      <m:rPr/>
                      <w:rPr>
                        <w:rFonts w:hint="default" w:ascii="Cambria Math" w:hAnsi="Cambria Math"/>
                        <w:highlight w:val="none"/>
                        <w:lang w:val="en-US" w:eastAsia="zh-CN"/>
                      </w:rPr>
                      <m:t>A,</m:t>
                    </m:r>
                    <m:r>
                      <m:rPr/>
                      <w:rPr>
                        <w:rFonts w:hint="default" w:ascii="Cambria Math" w:hAnsi="Cambria Math"/>
                        <w:highlight w:val="none"/>
                      </w:rPr>
                      <m:t>j,k</m:t>
                    </m:r>
                    <m:ctrlPr>
                      <w:rPr>
                        <w:rFonts w:ascii="Cambria Math" w:hAnsi="Cambria Math"/>
                        <w:i/>
                        <w:iCs w:val="0"/>
                        <w:highlight w:val="none"/>
                      </w:rPr>
                    </m:ctrlPr>
                  </m:sub>
                </m:sSub>
                <m:r>
                  <m:rPr/>
                  <w:rPr>
                    <w:rFonts w:ascii="Cambria Math" w:hAnsi="Cambria Math"/>
                    <w:highlight w:val="none"/>
                  </w:rPr>
                  <m:t>×TE</m:t>
                </m:r>
                <m:sSub>
                  <m:sSubPr>
                    <m:ctrlPr>
                      <w:rPr>
                        <w:rFonts w:ascii="Cambria Math" w:hAnsi="Cambria Math"/>
                        <w:i/>
                        <w:highlight w:val="none"/>
                      </w:rPr>
                    </m:ctrlPr>
                  </m:sSubPr>
                  <m:e>
                    <m:r>
                      <m:rPr/>
                      <w:rPr>
                        <w:rFonts w:ascii="Cambria Math" w:hAnsi="Cambria Math"/>
                        <w:highlight w:val="none"/>
                      </w:rPr>
                      <m:t>F</m:t>
                    </m:r>
                    <m:ctrlPr>
                      <w:rPr>
                        <w:rFonts w:ascii="Cambria Math" w:hAnsi="Cambria Math"/>
                        <w:i/>
                        <w:highlight w:val="none"/>
                      </w:rPr>
                    </m:ctrlPr>
                  </m:e>
                  <m:sub>
                    <m:r>
                      <m:rPr>
                        <m:nor/>
                      </m:rPr>
                      <w:rPr>
                        <w:rFonts w:ascii="Cambria Math" w:hAnsi="Cambria Math"/>
                        <w:i/>
                        <w:highlight w:val="none"/>
                      </w:rPr>
                      <m:t>i,k</m:t>
                    </m:r>
                    <m:ctrlPr>
                      <w:rPr>
                        <w:rFonts w:ascii="Cambria Math" w:hAnsi="Cambria Math"/>
                        <w:i/>
                        <w:highlight w:val="none"/>
                      </w:rPr>
                    </m:ctrlPr>
                  </m:sub>
                </m:sSub>
                <m:ctrlPr>
                  <w:rPr>
                    <w:rFonts w:ascii="Cambria Math" w:hAnsi="Cambria Math"/>
                    <w:i/>
                    <w:highlight w:val="none"/>
                  </w:rPr>
                </m:ctrlPr>
              </m:e>
            </m:d>
            <m:ctrlPr>
              <w:rPr>
                <w:rFonts w:ascii="Cambria Math" w:hAnsi="Cambria Math"/>
                <w:i/>
                <w:highlight w:val="none"/>
              </w:rPr>
            </m:ctrlPr>
          </m:e>
        </m:nary>
      </m:oMath>
      <w:r>
        <w:rPr>
          <w:rFonts w:ascii="Times New Roman"/>
          <w:highlight w:val="none"/>
        </w:rPr>
        <w:t>……             ……（3）</w:t>
      </w:r>
    </w:p>
    <w:p w14:paraId="7913065C">
      <w:pPr>
        <w:spacing w:line="276" w:lineRule="auto"/>
        <w:ind w:firstLine="420" w:firstLineChars="200"/>
        <w:rPr>
          <w:highlight w:val="none"/>
        </w:rPr>
      </w:pPr>
      <w:r>
        <w:rPr>
          <w:highlight w:val="none"/>
        </w:rPr>
        <w:t>式中：</w:t>
      </w:r>
    </w:p>
    <w:tbl>
      <w:tblPr>
        <w:tblStyle w:val="3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057"/>
        <w:gridCol w:w="687"/>
        <w:gridCol w:w="8223"/>
      </w:tblGrid>
      <w:tr w14:paraId="4B96F1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1057" w:type="dxa"/>
            <w:vAlign w:val="center"/>
          </w:tcPr>
          <w:p w14:paraId="6043A36B">
            <w:pPr>
              <w:pStyle w:val="27"/>
              <w:spacing w:line="276" w:lineRule="auto"/>
              <w:jc w:val="center"/>
              <w:rPr>
                <w:rFonts w:ascii="Times New Roman"/>
                <w:szCs w:val="18"/>
                <w:highlight w:val="none"/>
              </w:rPr>
            </w:pPr>
            <w:r>
              <w:rPr>
                <w:rFonts w:ascii="Times New Roman"/>
                <w:i/>
                <w:iCs/>
                <w:szCs w:val="18"/>
                <w:highlight w:val="none"/>
              </w:rPr>
              <w:t>M</w:t>
            </w:r>
            <w:r>
              <w:rPr>
                <w:rFonts w:hint="eastAsia" w:ascii="Times New Roman"/>
                <w:i/>
                <w:iCs/>
                <w:szCs w:val="18"/>
                <w:highlight w:val="none"/>
                <w:vertAlign w:val="subscript"/>
                <w:lang w:val="en-US" w:eastAsia="zh-CN"/>
              </w:rPr>
              <w:t>A,</w:t>
            </w:r>
            <w:r>
              <w:rPr>
                <w:rFonts w:ascii="Times New Roman"/>
                <w:i/>
                <w:iCs/>
                <w:szCs w:val="18"/>
                <w:highlight w:val="none"/>
                <w:vertAlign w:val="subscript"/>
              </w:rPr>
              <w:t>j</w:t>
            </w:r>
          </w:p>
        </w:tc>
        <w:tc>
          <w:tcPr>
            <w:tcW w:w="687" w:type="dxa"/>
          </w:tcPr>
          <w:p w14:paraId="6FF70656">
            <w:pPr>
              <w:pStyle w:val="27"/>
              <w:spacing w:line="276" w:lineRule="auto"/>
              <w:ind w:firstLine="0" w:firstLineChars="0"/>
              <w:rPr>
                <w:rFonts w:ascii="Times New Roman"/>
                <w:szCs w:val="18"/>
                <w:highlight w:val="none"/>
              </w:rPr>
            </w:pPr>
            <w:r>
              <w:rPr>
                <w:rFonts w:ascii="Times New Roman"/>
                <w:szCs w:val="21"/>
                <w:highlight w:val="none"/>
              </w:rPr>
              <w:t>——</w:t>
            </w:r>
          </w:p>
        </w:tc>
        <w:tc>
          <w:tcPr>
            <w:tcW w:w="8223" w:type="dxa"/>
          </w:tcPr>
          <w:p w14:paraId="2525DB56">
            <w:pPr>
              <w:pStyle w:val="27"/>
              <w:spacing w:line="276" w:lineRule="auto"/>
              <w:ind w:firstLine="0" w:firstLineChars="0"/>
              <w:rPr>
                <w:rFonts w:ascii="Times New Roman"/>
                <w:szCs w:val="18"/>
                <w:highlight w:val="none"/>
              </w:rPr>
            </w:pPr>
            <w:r>
              <w:rPr>
                <w:rFonts w:ascii="Times New Roman"/>
                <w:szCs w:val="21"/>
                <w:highlight w:val="none"/>
              </w:rPr>
              <w:t>每功能单位（</w:t>
            </w:r>
            <w:r>
              <w:rPr>
                <w:rFonts w:hint="eastAsia" w:ascii="Times New Roman"/>
                <w:szCs w:val="21"/>
                <w:highlight w:val="none"/>
              </w:rPr>
              <w:t>声明单位</w:t>
            </w:r>
            <w:r>
              <w:rPr>
                <w:rFonts w:ascii="Times New Roman"/>
                <w:szCs w:val="21"/>
                <w:highlight w:val="none"/>
              </w:rPr>
              <w:t>）</w:t>
            </w:r>
            <w:r>
              <w:rPr>
                <w:rFonts w:ascii="Times New Roman"/>
                <w:szCs w:val="18"/>
                <w:highlight w:val="none"/>
              </w:rPr>
              <w:t>第</w:t>
            </w:r>
            <w:r>
              <w:rPr>
                <w:rFonts w:ascii="Times New Roman"/>
                <w:i/>
                <w:iCs/>
                <w:szCs w:val="21"/>
                <w:highlight w:val="none"/>
              </w:rPr>
              <w:t>j</w:t>
            </w:r>
            <w:r>
              <w:rPr>
                <w:rFonts w:ascii="Times New Roman"/>
                <w:szCs w:val="18"/>
                <w:highlight w:val="none"/>
              </w:rPr>
              <w:t>种原料的消耗量，单位视原料种类而定；</w:t>
            </w:r>
          </w:p>
        </w:tc>
      </w:tr>
      <w:tr w14:paraId="6522E2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1057" w:type="dxa"/>
            <w:vAlign w:val="center"/>
          </w:tcPr>
          <w:p w14:paraId="7412ED8D">
            <w:pPr>
              <w:pStyle w:val="27"/>
              <w:spacing w:line="276" w:lineRule="auto"/>
              <w:ind w:firstLine="0" w:firstLineChars="0"/>
              <w:jc w:val="center"/>
              <w:rPr>
                <w:rFonts w:ascii="Times New Roman"/>
                <w:szCs w:val="18"/>
                <w:highlight w:val="none"/>
              </w:rPr>
            </w:pPr>
            <w:r>
              <w:rPr>
                <w:rFonts w:ascii="Times New Roman"/>
                <w:i/>
                <w:szCs w:val="18"/>
                <w:highlight w:val="none"/>
              </w:rPr>
              <w:t>CEF</w:t>
            </w:r>
            <w:r>
              <w:rPr>
                <w:rFonts w:hint="eastAsia" w:ascii="Times New Roman"/>
                <w:i/>
                <w:szCs w:val="18"/>
                <w:highlight w:val="none"/>
                <w:vertAlign w:val="subscript"/>
                <w:lang w:val="en-US" w:eastAsia="zh-CN"/>
              </w:rPr>
              <w:t>A,</w:t>
            </w:r>
            <w:r>
              <w:rPr>
                <w:rFonts w:ascii="Times New Roman"/>
                <w:i/>
                <w:szCs w:val="18"/>
                <w:highlight w:val="none"/>
                <w:vertAlign w:val="subscript"/>
              </w:rPr>
              <w:t>i,j</w:t>
            </w:r>
          </w:p>
        </w:tc>
        <w:tc>
          <w:tcPr>
            <w:tcW w:w="687" w:type="dxa"/>
          </w:tcPr>
          <w:p w14:paraId="07A984E4">
            <w:pPr>
              <w:pStyle w:val="27"/>
              <w:spacing w:line="276" w:lineRule="auto"/>
              <w:ind w:firstLine="0" w:firstLineChars="0"/>
              <w:rPr>
                <w:rFonts w:ascii="Times New Roman"/>
                <w:szCs w:val="18"/>
                <w:highlight w:val="none"/>
              </w:rPr>
            </w:pPr>
            <w:r>
              <w:rPr>
                <w:rFonts w:ascii="Times New Roman"/>
                <w:szCs w:val="21"/>
                <w:highlight w:val="none"/>
              </w:rPr>
              <w:t>——</w:t>
            </w:r>
          </w:p>
        </w:tc>
        <w:tc>
          <w:tcPr>
            <w:tcW w:w="8223" w:type="dxa"/>
          </w:tcPr>
          <w:p w14:paraId="160D23AE">
            <w:pPr>
              <w:pStyle w:val="27"/>
              <w:spacing w:line="276" w:lineRule="auto"/>
              <w:ind w:firstLine="0" w:firstLineChars="0"/>
              <w:rPr>
                <w:rFonts w:ascii="Times New Roman"/>
                <w:szCs w:val="18"/>
                <w:highlight w:val="none"/>
              </w:rPr>
            </w:pPr>
            <w:r>
              <w:rPr>
                <w:rFonts w:ascii="Times New Roman"/>
                <w:szCs w:val="18"/>
                <w:highlight w:val="none"/>
              </w:rPr>
              <w:t>第</w:t>
            </w:r>
            <w:r>
              <w:rPr>
                <w:rFonts w:ascii="Times New Roman"/>
                <w:i/>
                <w:iCs/>
                <w:szCs w:val="21"/>
                <w:highlight w:val="none"/>
              </w:rPr>
              <w:t>j</w:t>
            </w:r>
            <w:r>
              <w:rPr>
                <w:rFonts w:ascii="Times New Roman"/>
                <w:szCs w:val="18"/>
                <w:highlight w:val="none"/>
              </w:rPr>
              <w:t>种原料</w:t>
            </w:r>
            <w:r>
              <w:rPr>
                <w:rFonts w:hint="eastAsia" w:ascii="Times New Roman"/>
                <w:szCs w:val="18"/>
                <w:highlight w:val="none"/>
                <w:lang w:val="en-US" w:eastAsia="zh-CN"/>
              </w:rPr>
              <w:t>获取</w:t>
            </w:r>
            <w:r>
              <w:rPr>
                <w:rFonts w:ascii="Times New Roman"/>
                <w:szCs w:val="18"/>
                <w:highlight w:val="none"/>
              </w:rPr>
              <w:t>的第</w:t>
            </w:r>
            <w:r>
              <w:rPr>
                <w:rFonts w:ascii="Times New Roman"/>
                <w:i/>
                <w:iCs/>
                <w:szCs w:val="21"/>
                <w:highlight w:val="none"/>
              </w:rPr>
              <w:t>i</w:t>
            </w:r>
            <w:r>
              <w:rPr>
                <w:rFonts w:ascii="Times New Roman"/>
                <w:szCs w:val="18"/>
                <w:highlight w:val="none"/>
              </w:rPr>
              <w:t>种温室气体排放因子，单位视原料种类而定。</w:t>
            </w:r>
            <w:r>
              <w:rPr>
                <w:rFonts w:hint="default" w:ascii="Times New Roman" w:hAnsi="Times New Roman" w:cs="Times New Roman"/>
                <w:color w:val="auto"/>
                <w:szCs w:val="21"/>
                <w:highlight w:val="none"/>
                <w:lang w:val="en-US" w:eastAsia="zh-CN"/>
              </w:rPr>
              <w:t>电力</w:t>
            </w:r>
            <w:r>
              <w:rPr>
                <w:rFonts w:hint="eastAsia" w:ascii="Times New Roman" w:hAnsi="Times New Roman" w:cs="Times New Roman"/>
                <w:color w:val="auto"/>
                <w:szCs w:val="21"/>
                <w:highlight w:val="none"/>
                <w:lang w:val="en-US" w:eastAsia="zh-CN"/>
              </w:rPr>
              <w:t>满足GB/T 24067-2024中6.4.9.4的要求</w:t>
            </w:r>
            <w:r>
              <w:rPr>
                <w:rFonts w:hint="eastAsia" w:ascii="Times New Roman" w:cs="Times New Roman"/>
                <w:color w:val="auto"/>
                <w:szCs w:val="21"/>
                <w:highlight w:val="none"/>
                <w:lang w:val="en-US" w:eastAsia="zh-CN"/>
              </w:rPr>
              <w:t>；</w:t>
            </w:r>
          </w:p>
        </w:tc>
      </w:tr>
      <w:tr w14:paraId="5CEBDE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1057" w:type="dxa"/>
            <w:vAlign w:val="center"/>
          </w:tcPr>
          <w:p w14:paraId="6730C357">
            <w:pPr>
              <w:pStyle w:val="27"/>
              <w:spacing w:line="276" w:lineRule="auto"/>
              <w:ind w:firstLine="0" w:firstLineChars="0"/>
              <w:jc w:val="center"/>
              <w:rPr>
                <w:rFonts w:ascii="Times New Roman"/>
                <w:i/>
                <w:szCs w:val="18"/>
                <w:highlight w:val="none"/>
              </w:rPr>
            </w:pPr>
            <m:oMathPara>
              <m:oMathParaPr>
                <m:jc m:val="right"/>
              </m:oMathParaPr>
              <m:oMath>
                <m:sSub>
                  <m:sSubPr>
                    <m:ctrlPr>
                      <w:rPr>
                        <w:rFonts w:ascii="Cambria Math" w:hAnsi="Cambria Math"/>
                        <w:i/>
                        <w:szCs w:val="18"/>
                        <w:highlight w:val="none"/>
                      </w:rPr>
                    </m:ctrlPr>
                  </m:sSubPr>
                  <m:e>
                    <m:r>
                      <m:rPr/>
                      <w:rPr>
                        <w:rFonts w:ascii="Cambria Math" w:hAnsi="Cambria Math"/>
                        <w:szCs w:val="18"/>
                        <w:highlight w:val="none"/>
                      </w:rPr>
                      <m:t>M</m:t>
                    </m:r>
                    <m:ctrlPr>
                      <w:rPr>
                        <w:rFonts w:ascii="Cambria Math" w:hAnsi="Cambria Math"/>
                        <w:i/>
                        <w:szCs w:val="18"/>
                        <w:highlight w:val="none"/>
                      </w:rPr>
                    </m:ctrlPr>
                  </m:e>
                  <m:sub>
                    <m:r>
                      <m:rPr>
                        <m:nor/>
                      </m:rPr>
                      <w:rPr>
                        <w:rFonts w:hint="default" w:ascii="Cambria Math" w:hAnsi="Cambria Math"/>
                        <w:i/>
                        <w:szCs w:val="18"/>
                        <w:highlight w:val="none"/>
                        <w:lang w:val="en-US" w:eastAsia="zh-CN"/>
                      </w:rPr>
                      <m:t>A,</m:t>
                    </m:r>
                    <m:r>
                      <m:rPr>
                        <m:nor/>
                      </m:rPr>
                      <w:rPr>
                        <w:rFonts w:ascii="Cambria Math" w:hAnsi="Cambria Math"/>
                        <w:i/>
                        <w:szCs w:val="18"/>
                        <w:highlight w:val="none"/>
                      </w:rPr>
                      <m:t>j</m:t>
                    </m:r>
                    <m:r>
                      <m:rPr>
                        <m:nor/>
                      </m:rPr>
                      <w:rPr>
                        <w:rFonts w:hint="default" w:ascii="Cambria Math" w:hAnsi="Cambria Math"/>
                        <w:i/>
                        <w:szCs w:val="18"/>
                        <w:highlight w:val="none"/>
                        <w:lang w:val="en-US" w:eastAsia="zh-CN"/>
                      </w:rPr>
                      <m:t>,k</m:t>
                    </m:r>
                    <m:ctrlPr>
                      <w:rPr>
                        <w:rFonts w:ascii="Cambria Math" w:hAnsi="Cambria Math"/>
                        <w:i/>
                        <w:szCs w:val="18"/>
                        <w:highlight w:val="none"/>
                      </w:rPr>
                    </m:ctrlPr>
                  </m:sub>
                </m:sSub>
              </m:oMath>
            </m:oMathPara>
          </w:p>
        </w:tc>
        <w:tc>
          <w:tcPr>
            <w:tcW w:w="687" w:type="dxa"/>
          </w:tcPr>
          <w:p w14:paraId="0D0FA5EA">
            <w:pPr>
              <w:pStyle w:val="27"/>
              <w:spacing w:line="276" w:lineRule="auto"/>
              <w:ind w:firstLine="0" w:firstLineChars="0"/>
              <w:rPr>
                <w:rFonts w:ascii="Times New Roman"/>
                <w:szCs w:val="21"/>
                <w:highlight w:val="none"/>
              </w:rPr>
            </w:pPr>
            <w:r>
              <w:rPr>
                <w:rFonts w:ascii="Times New Roman"/>
                <w:szCs w:val="21"/>
                <w:highlight w:val="none"/>
              </w:rPr>
              <w:t>——</w:t>
            </w:r>
          </w:p>
        </w:tc>
        <w:tc>
          <w:tcPr>
            <w:tcW w:w="8223" w:type="dxa"/>
          </w:tcPr>
          <w:p w14:paraId="737A3E59">
            <w:pPr>
              <w:pStyle w:val="27"/>
              <w:spacing w:line="276" w:lineRule="auto"/>
              <w:ind w:firstLine="0" w:firstLineChars="0"/>
              <w:rPr>
                <w:rFonts w:ascii="Times New Roman"/>
                <w:szCs w:val="18"/>
                <w:highlight w:val="none"/>
              </w:rPr>
            </w:pPr>
            <w:r>
              <w:rPr>
                <w:rFonts w:ascii="Times New Roman"/>
                <w:szCs w:val="21"/>
                <w:highlight w:val="none"/>
              </w:rPr>
              <w:t>每功能单位（</w:t>
            </w:r>
            <w:r>
              <w:rPr>
                <w:rFonts w:hint="eastAsia" w:ascii="Times New Roman"/>
                <w:szCs w:val="21"/>
                <w:highlight w:val="none"/>
              </w:rPr>
              <w:t>声明单位</w:t>
            </w:r>
            <w:r>
              <w:rPr>
                <w:rFonts w:ascii="Times New Roman"/>
                <w:szCs w:val="21"/>
                <w:highlight w:val="none"/>
              </w:rPr>
              <w:t>）</w:t>
            </w:r>
            <w:r>
              <w:rPr>
                <w:rFonts w:ascii="Times New Roman"/>
                <w:szCs w:val="18"/>
                <w:highlight w:val="none"/>
              </w:rPr>
              <w:t>第</w:t>
            </w:r>
            <w:r>
              <w:rPr>
                <w:rFonts w:ascii="Times New Roman"/>
                <w:i/>
                <w:iCs/>
                <w:szCs w:val="21"/>
                <w:highlight w:val="none"/>
              </w:rPr>
              <w:t>j</w:t>
            </w:r>
            <w:r>
              <w:rPr>
                <w:rFonts w:ascii="Times New Roman"/>
                <w:szCs w:val="18"/>
                <w:highlight w:val="none"/>
              </w:rPr>
              <w:t>种原料</w:t>
            </w:r>
            <w:r>
              <w:rPr>
                <w:rFonts w:hint="eastAsia" w:ascii="Times New Roman"/>
                <w:szCs w:val="18"/>
                <w:highlight w:val="none"/>
                <w:lang w:val="en-US" w:eastAsia="zh-CN"/>
              </w:rPr>
              <w:t>第k种运输方式</w:t>
            </w:r>
            <w:r>
              <w:rPr>
                <w:rFonts w:ascii="Times New Roman"/>
                <w:szCs w:val="18"/>
                <w:highlight w:val="none"/>
              </w:rPr>
              <w:t>的</w:t>
            </w:r>
            <w:r>
              <w:rPr>
                <w:rFonts w:hint="eastAsia" w:ascii="Times New Roman"/>
                <w:szCs w:val="18"/>
                <w:highlight w:val="none"/>
                <w:lang w:val="en-US" w:eastAsia="zh-CN"/>
              </w:rPr>
              <w:t>运输</w:t>
            </w:r>
            <w:r>
              <w:rPr>
                <w:rFonts w:ascii="Times New Roman"/>
                <w:szCs w:val="18"/>
                <w:highlight w:val="none"/>
              </w:rPr>
              <w:t>量，单位视原料种类而定；</w:t>
            </w:r>
          </w:p>
        </w:tc>
      </w:tr>
      <w:tr w14:paraId="6AA76E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1057" w:type="dxa"/>
            <w:vAlign w:val="center"/>
          </w:tcPr>
          <w:p w14:paraId="69BD74FD">
            <w:pPr>
              <w:pStyle w:val="27"/>
              <w:spacing w:line="276" w:lineRule="auto"/>
              <w:ind w:firstLine="0" w:firstLineChars="0"/>
              <w:jc w:val="center"/>
              <w:rPr>
                <w:rFonts w:ascii="Times New Roman"/>
                <w:szCs w:val="18"/>
                <w:highlight w:val="none"/>
              </w:rPr>
            </w:pPr>
            <w:r>
              <w:rPr>
                <w:rFonts w:ascii="Times New Roman"/>
                <w:i/>
                <w:szCs w:val="18"/>
                <w:highlight w:val="none"/>
              </w:rPr>
              <w:t>D</w:t>
            </w:r>
            <w:r>
              <w:rPr>
                <w:rFonts w:hint="eastAsia" w:ascii="Times New Roman"/>
                <w:i/>
                <w:szCs w:val="18"/>
                <w:highlight w:val="none"/>
                <w:vertAlign w:val="subscript"/>
                <w:lang w:val="en-US" w:eastAsia="zh-CN"/>
              </w:rPr>
              <w:t>A,</w:t>
            </w:r>
            <w:r>
              <w:rPr>
                <w:rFonts w:ascii="Times New Roman"/>
                <w:i/>
                <w:szCs w:val="18"/>
                <w:highlight w:val="none"/>
                <w:vertAlign w:val="subscript"/>
              </w:rPr>
              <w:t>j,k</w:t>
            </w:r>
          </w:p>
        </w:tc>
        <w:tc>
          <w:tcPr>
            <w:tcW w:w="687" w:type="dxa"/>
          </w:tcPr>
          <w:p w14:paraId="3D54C2BE">
            <w:pPr>
              <w:pStyle w:val="27"/>
              <w:spacing w:line="276" w:lineRule="auto"/>
              <w:ind w:firstLine="0" w:firstLineChars="0"/>
              <w:rPr>
                <w:rFonts w:ascii="Times New Roman"/>
                <w:szCs w:val="18"/>
                <w:highlight w:val="none"/>
              </w:rPr>
            </w:pPr>
            <w:r>
              <w:rPr>
                <w:rFonts w:ascii="Times New Roman"/>
                <w:szCs w:val="21"/>
                <w:highlight w:val="none"/>
              </w:rPr>
              <w:t>——</w:t>
            </w:r>
          </w:p>
        </w:tc>
        <w:tc>
          <w:tcPr>
            <w:tcW w:w="8223" w:type="dxa"/>
          </w:tcPr>
          <w:p w14:paraId="27BC240C">
            <w:pPr>
              <w:pStyle w:val="27"/>
              <w:spacing w:line="276" w:lineRule="auto"/>
              <w:ind w:firstLine="0" w:firstLineChars="0"/>
              <w:rPr>
                <w:rFonts w:ascii="Times New Roman"/>
                <w:szCs w:val="18"/>
                <w:highlight w:val="none"/>
              </w:rPr>
            </w:pPr>
            <w:r>
              <w:rPr>
                <w:rFonts w:ascii="Times New Roman"/>
                <w:iCs/>
                <w:szCs w:val="18"/>
                <w:highlight w:val="none"/>
              </w:rPr>
              <w:t>第</w:t>
            </w:r>
            <w:r>
              <w:rPr>
                <w:rFonts w:ascii="Times New Roman"/>
                <w:i/>
                <w:iCs/>
                <w:szCs w:val="21"/>
                <w:highlight w:val="none"/>
              </w:rPr>
              <w:t>j</w:t>
            </w:r>
            <w:r>
              <w:rPr>
                <w:rFonts w:ascii="Times New Roman"/>
                <w:iCs/>
                <w:szCs w:val="18"/>
                <w:highlight w:val="none"/>
              </w:rPr>
              <w:t>种</w:t>
            </w:r>
            <w:r>
              <w:rPr>
                <w:rFonts w:ascii="Times New Roman"/>
                <w:szCs w:val="18"/>
                <w:highlight w:val="none"/>
              </w:rPr>
              <w:t>原料第</w:t>
            </w:r>
            <w:r>
              <w:rPr>
                <w:rFonts w:ascii="Times New Roman"/>
                <w:i/>
                <w:iCs/>
                <w:szCs w:val="21"/>
                <w:highlight w:val="none"/>
              </w:rPr>
              <w:t>k</w:t>
            </w:r>
            <w:r>
              <w:rPr>
                <w:rFonts w:ascii="Times New Roman"/>
                <w:szCs w:val="18"/>
                <w:highlight w:val="none"/>
              </w:rPr>
              <w:t>种运输方式的运输距离，单位为千米（km）；</w:t>
            </w:r>
          </w:p>
        </w:tc>
      </w:tr>
      <w:tr w14:paraId="294DA2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1057" w:type="dxa"/>
            <w:vAlign w:val="center"/>
          </w:tcPr>
          <w:p w14:paraId="04345638">
            <w:pPr>
              <w:pStyle w:val="27"/>
              <w:spacing w:line="276" w:lineRule="auto"/>
              <w:ind w:firstLine="0" w:firstLineChars="0"/>
              <w:jc w:val="center"/>
              <w:rPr>
                <w:rFonts w:ascii="Times New Roman"/>
                <w:szCs w:val="18"/>
                <w:highlight w:val="none"/>
              </w:rPr>
            </w:pPr>
            <w:r>
              <w:rPr>
                <w:rFonts w:ascii="Times New Roman"/>
                <w:i/>
                <w:szCs w:val="18"/>
                <w:highlight w:val="none"/>
              </w:rPr>
              <w:t>TEF</w:t>
            </w:r>
            <w:r>
              <w:rPr>
                <w:rFonts w:ascii="Times New Roman"/>
                <w:i/>
                <w:szCs w:val="18"/>
                <w:highlight w:val="none"/>
                <w:vertAlign w:val="subscript"/>
              </w:rPr>
              <w:t>i,k</w:t>
            </w:r>
          </w:p>
        </w:tc>
        <w:tc>
          <w:tcPr>
            <w:tcW w:w="687" w:type="dxa"/>
          </w:tcPr>
          <w:p w14:paraId="08323ADA">
            <w:pPr>
              <w:pStyle w:val="27"/>
              <w:spacing w:line="276" w:lineRule="auto"/>
              <w:ind w:firstLine="0" w:firstLineChars="0"/>
              <w:rPr>
                <w:rFonts w:ascii="Times New Roman"/>
                <w:szCs w:val="18"/>
                <w:highlight w:val="none"/>
              </w:rPr>
            </w:pPr>
            <w:r>
              <w:rPr>
                <w:rFonts w:ascii="Times New Roman"/>
                <w:szCs w:val="21"/>
                <w:highlight w:val="none"/>
              </w:rPr>
              <w:t>——</w:t>
            </w:r>
          </w:p>
        </w:tc>
        <w:tc>
          <w:tcPr>
            <w:tcW w:w="8223" w:type="dxa"/>
          </w:tcPr>
          <w:p w14:paraId="2FD41958">
            <w:pPr>
              <w:pStyle w:val="27"/>
              <w:spacing w:line="276" w:lineRule="auto"/>
              <w:ind w:firstLine="0" w:firstLineChars="0"/>
              <w:rPr>
                <w:rFonts w:ascii="Times New Roman"/>
                <w:szCs w:val="18"/>
                <w:highlight w:val="none"/>
              </w:rPr>
            </w:pPr>
            <w:r>
              <w:rPr>
                <w:rFonts w:ascii="Times New Roman"/>
                <w:iCs/>
                <w:szCs w:val="18"/>
                <w:highlight w:val="none"/>
              </w:rPr>
              <w:t>第</w:t>
            </w:r>
            <w:r>
              <w:rPr>
                <w:rFonts w:ascii="Times New Roman"/>
                <w:i/>
                <w:iCs/>
                <w:szCs w:val="21"/>
                <w:highlight w:val="none"/>
              </w:rPr>
              <w:t>k</w:t>
            </w:r>
            <w:r>
              <w:rPr>
                <w:rFonts w:ascii="Times New Roman"/>
                <w:iCs/>
                <w:szCs w:val="18"/>
                <w:highlight w:val="none"/>
              </w:rPr>
              <w:t>种运输方式的第</w:t>
            </w:r>
            <w:r>
              <w:rPr>
                <w:rFonts w:ascii="Times New Roman"/>
                <w:i/>
                <w:iCs/>
                <w:szCs w:val="21"/>
                <w:highlight w:val="none"/>
              </w:rPr>
              <w:t>i</w:t>
            </w:r>
            <w:r>
              <w:rPr>
                <w:rFonts w:ascii="Times New Roman"/>
                <w:iCs/>
                <w:szCs w:val="18"/>
                <w:highlight w:val="none"/>
              </w:rPr>
              <w:t>种温室气体排放因子，单位为</w:t>
            </w:r>
            <w:r>
              <w:rPr>
                <w:rFonts w:ascii="Times New Roman"/>
                <w:szCs w:val="18"/>
                <w:highlight w:val="none"/>
              </w:rPr>
              <w:t>千克每吨每千米[kg/(t</w:t>
            </w:r>
            <w:r>
              <w:rPr>
                <w:rFonts w:ascii="Times New Roman"/>
                <w:szCs w:val="18"/>
              </w:rPr>
              <w:t>·</w:t>
            </w:r>
            <w:r>
              <w:rPr>
                <w:rFonts w:ascii="Times New Roman"/>
                <w:szCs w:val="18"/>
                <w:highlight w:val="none"/>
              </w:rPr>
              <w:t>km)]。</w:t>
            </w:r>
          </w:p>
        </w:tc>
      </w:tr>
    </w:tbl>
    <w:p w14:paraId="71D28036">
      <w:pPr>
        <w:pStyle w:val="47"/>
        <w:numPr>
          <w:ilvl w:val="2"/>
          <w:numId w:val="11"/>
        </w:numPr>
        <w:adjustRightInd w:val="0"/>
        <w:snapToGrid w:val="0"/>
        <w:spacing w:beforeLines="0" w:afterLines="0" w:line="360" w:lineRule="exact"/>
        <w:ind w:left="0" w:firstLine="0" w:firstLineChars="0"/>
        <w:jc w:val="both"/>
        <w:outlineLvl w:val="9"/>
        <w:rPr>
          <w:rFonts w:hint="eastAsia" w:ascii="Times New Roman" w:eastAsia="宋体"/>
          <w:highlight w:val="none"/>
        </w:rPr>
      </w:pPr>
      <w:r>
        <w:rPr>
          <w:rFonts w:ascii="Times New Roman" w:eastAsia="宋体"/>
        </w:rPr>
        <w:t>产品生产阶段</w:t>
      </w:r>
      <w:r>
        <w:rPr>
          <w:rFonts w:hint="default" w:ascii="Times New Roman" w:eastAsia="宋体"/>
          <w:lang w:eastAsia="zh-CN"/>
        </w:rPr>
        <w:t>（</w:t>
      </w:r>
      <w:r>
        <w:rPr>
          <w:rFonts w:hint="default" w:ascii="Times New Roman" w:eastAsia="宋体"/>
          <w:lang w:val="en-US" w:eastAsia="zh-CN"/>
        </w:rPr>
        <w:t>B</w:t>
      </w:r>
      <w:r>
        <w:rPr>
          <w:rFonts w:hint="default" w:ascii="Times New Roman" w:eastAsia="宋体"/>
          <w:lang w:eastAsia="zh-CN"/>
        </w:rPr>
        <w:t>）</w:t>
      </w:r>
    </w:p>
    <w:p w14:paraId="75C60F8A">
      <w:pPr>
        <w:pStyle w:val="47"/>
        <w:numPr>
          <w:ilvl w:val="1"/>
          <w:numId w:val="0"/>
        </w:numPr>
        <w:adjustRightInd w:val="0"/>
        <w:snapToGrid w:val="0"/>
        <w:spacing w:beforeLines="0" w:afterLines="0" w:line="360" w:lineRule="exact"/>
        <w:ind w:leftChars="0" w:firstLine="420" w:firstLineChars="200"/>
        <w:jc w:val="both"/>
        <w:outlineLvl w:val="9"/>
        <w:rPr>
          <w:rFonts w:hint="eastAsia" w:ascii="Times New Roman" w:eastAsia="宋体"/>
          <w:highlight w:val="none"/>
        </w:rPr>
      </w:pPr>
      <w:r>
        <w:rPr>
          <w:rFonts w:hint="eastAsia" w:ascii="Times New Roman" w:hAnsi="Times New Roman" w:eastAsia="宋体" w:cs="Times New Roman"/>
          <w:lang w:val="en-US" w:eastAsia="zh-CN"/>
        </w:rPr>
        <w:t>墙面涂料</w:t>
      </w:r>
      <w:r>
        <w:rPr>
          <w:rFonts w:hint="eastAsia" w:ascii="Times New Roman" w:hAnsi="Times New Roman" w:eastAsia="宋体" w:cs="Times New Roman"/>
        </w:rPr>
        <w:t>生产阶段</w:t>
      </w:r>
      <w:r>
        <w:rPr>
          <w:rFonts w:hint="eastAsia" w:ascii="Times New Roman" w:eastAsia="宋体"/>
          <w:highlight w:val="none"/>
          <w:lang w:val="en-US" w:eastAsia="zh-CN"/>
        </w:rPr>
        <w:t>温室气体排放</w:t>
      </w:r>
      <w:r>
        <w:rPr>
          <w:rFonts w:hint="eastAsia" w:ascii="Times New Roman" w:hAnsi="Times New Roman" w:eastAsia="宋体" w:cs="Times New Roman"/>
        </w:rPr>
        <w:t>包括生产消耗能源的获取和化石燃料燃烧，</w:t>
      </w:r>
      <w:r>
        <w:rPr>
          <w:rFonts w:hint="eastAsia" w:ascii="Times New Roman" w:eastAsia="宋体"/>
          <w:highlight w:val="none"/>
        </w:rPr>
        <w:t>每功能单位（声明单位）在生产阶段的第i类温室气体排放量</w:t>
      </w:r>
      <w:r>
        <w:rPr>
          <w:rFonts w:hint="eastAsia" w:ascii="Times New Roman" w:hAnsi="Times New Roman" w:eastAsia="宋体" w:cs="Times New Roman"/>
        </w:rPr>
        <w:t>按式（4）计算</w:t>
      </w:r>
      <w:r>
        <w:rPr>
          <w:rFonts w:hint="eastAsia" w:ascii="Times New Roman" w:hAnsi="Times New Roman" w:eastAsia="宋体" w:cs="Times New Roman"/>
          <w:lang w:eastAsia="zh-CN"/>
        </w:rPr>
        <w:t>，</w:t>
      </w:r>
      <w:r>
        <w:rPr>
          <w:rFonts w:hint="eastAsia" w:ascii="Times New Roman" w:hAnsi="Times New Roman" w:eastAsia="宋体" w:cs="Times New Roman"/>
        </w:rPr>
        <w:t>其中电力消耗量和温室气体排放因子应与电力属性对应</w:t>
      </w:r>
      <w:r>
        <w:rPr>
          <w:rFonts w:hint="eastAsia" w:ascii="Times New Roman" w:eastAsia="宋体"/>
          <w:highlight w:val="none"/>
        </w:rPr>
        <w:t>：</w:t>
      </w:r>
    </w:p>
    <w:p w14:paraId="3DEB2C02">
      <w:pPr>
        <w:pStyle w:val="27"/>
        <w:spacing w:line="276" w:lineRule="auto"/>
        <w:jc w:val="center"/>
        <w:rPr>
          <w:rFonts w:ascii="Times New Roman"/>
          <w:szCs w:val="21"/>
          <w:highlight w:val="none"/>
        </w:rPr>
      </w:pPr>
      <m:oMath>
        <m:sSub>
          <m:sSubPr>
            <m:ctrlPr>
              <w:rPr>
                <w:rFonts w:ascii="Cambria Math" w:hAnsi="Cambria Math"/>
                <w:i/>
                <w:highlight w:val="none"/>
              </w:rPr>
            </m:ctrlPr>
          </m:sSubPr>
          <m:e>
            <m:r>
              <m:rPr/>
              <w:rPr>
                <w:rFonts w:ascii="Cambria Math" w:hAnsi="Cambria Math"/>
                <w:highlight w:val="none"/>
              </w:rPr>
              <m:t>CFP</m:t>
            </m:r>
            <m:ctrlPr>
              <w:rPr>
                <w:rFonts w:ascii="Cambria Math" w:hAnsi="Cambria Math"/>
                <w:i/>
                <w:highlight w:val="none"/>
              </w:rPr>
            </m:ctrlPr>
          </m:e>
          <m:sub>
            <m:r>
              <m:rPr/>
              <w:rPr>
                <w:rFonts w:ascii="Cambria Math" w:hAnsi="Cambria Math"/>
                <w:highlight w:val="none"/>
              </w:rPr>
              <m:t>B,i</m:t>
            </m:r>
            <m:ctrlPr>
              <w:rPr>
                <w:rFonts w:ascii="Cambria Math" w:hAnsi="Cambria Math"/>
                <w:i/>
                <w:highlight w:val="none"/>
              </w:rPr>
            </m:ctrlPr>
          </m:sub>
        </m:sSub>
        <m:r>
          <m:rPr/>
          <w:rPr>
            <w:rFonts w:ascii="Cambria Math" w:hAnsi="Cambria Math"/>
            <w:szCs w:val="21"/>
            <w:highlight w:val="none"/>
          </w:rPr>
          <m:t>=</m:t>
        </m:r>
        <m:nary>
          <m:naryPr>
            <m:chr m:val="∑"/>
            <m:subHide m:val="1"/>
            <m:supHide m:val="1"/>
            <m:ctrlPr>
              <w:rPr>
                <w:rFonts w:ascii="Cambria Math" w:hAnsi="Cambria Math"/>
                <w:i/>
                <w:highlight w:val="none"/>
              </w:rPr>
            </m:ctrlPr>
          </m:naryPr>
          <m:sub>
            <m:ctrlPr>
              <w:rPr>
                <w:rFonts w:ascii="Cambria Math" w:hAnsi="Cambria Math"/>
                <w:i/>
                <w:highlight w:val="none"/>
              </w:rPr>
            </m:ctrlPr>
          </m:sub>
          <m:sup>
            <m:ctrlPr>
              <w:rPr>
                <w:rFonts w:ascii="Cambria Math" w:hAnsi="Cambria Math"/>
                <w:i/>
                <w:highlight w:val="none"/>
              </w:rPr>
            </m:ctrlPr>
          </m:sup>
          <m:e>
            <m:d>
              <m:dPr>
                <m:ctrlPr>
                  <w:rPr>
                    <w:rFonts w:ascii="Cambria Math" w:hAnsi="Cambria Math"/>
                    <w:i/>
                    <w:highlight w:val="none"/>
                  </w:rPr>
                </m:ctrlPr>
              </m:dPr>
              <m:e>
                <m:sSub>
                  <m:sSubPr>
                    <m:ctrlPr>
                      <w:rPr>
                        <w:rFonts w:ascii="Cambria Math" w:hAnsi="Cambria Math"/>
                        <w:i/>
                        <w:highlight w:val="none"/>
                      </w:rPr>
                    </m:ctrlPr>
                  </m:sSubPr>
                  <m:e>
                    <m:r>
                      <m:rPr/>
                      <w:rPr>
                        <w:rFonts w:ascii="Cambria Math" w:hAnsi="Cambria Math"/>
                        <w:highlight w:val="none"/>
                      </w:rPr>
                      <m:t>M</m:t>
                    </m:r>
                    <m:ctrlPr>
                      <w:rPr>
                        <w:rFonts w:ascii="Cambria Math" w:hAnsi="Cambria Math"/>
                        <w:i/>
                        <w:highlight w:val="none"/>
                      </w:rPr>
                    </m:ctrlPr>
                  </m:e>
                  <m:sub>
                    <m:r>
                      <m:rPr>
                        <m:nor/>
                      </m:rPr>
                      <w:rPr>
                        <w:rFonts w:hint="default" w:ascii="Cambria Math" w:hAnsi="Cambria Math"/>
                        <w:i/>
                        <w:highlight w:val="none"/>
                        <w:lang w:val="en-US" w:eastAsia="zh-CN"/>
                      </w:rPr>
                      <m:t>B,</m:t>
                    </m:r>
                    <m:r>
                      <m:rPr>
                        <m:nor/>
                      </m:rPr>
                      <w:rPr>
                        <w:rFonts w:ascii="Cambria Math" w:hAnsi="Cambria Math"/>
                        <w:i/>
                        <w:highlight w:val="none"/>
                      </w:rPr>
                      <m:t>j</m:t>
                    </m:r>
                    <m:ctrlPr>
                      <w:rPr>
                        <w:rFonts w:ascii="Cambria Math" w:hAnsi="Cambria Math"/>
                        <w:i/>
                        <w:highlight w:val="none"/>
                      </w:rPr>
                    </m:ctrlPr>
                  </m:sub>
                </m:sSub>
                <m:r>
                  <m:rPr/>
                  <w:rPr>
                    <w:rFonts w:ascii="Cambria Math" w:hAnsi="Cambria Math"/>
                    <w:highlight w:val="none"/>
                  </w:rPr>
                  <m:t>×CE</m:t>
                </m:r>
                <m:sSub>
                  <m:sSubPr>
                    <m:ctrlPr>
                      <w:rPr>
                        <w:rFonts w:ascii="Cambria Math" w:hAnsi="Cambria Math"/>
                        <w:i/>
                        <w:highlight w:val="none"/>
                      </w:rPr>
                    </m:ctrlPr>
                  </m:sSubPr>
                  <m:e>
                    <m:r>
                      <m:rPr/>
                      <w:rPr>
                        <w:rFonts w:ascii="Cambria Math" w:hAnsi="Cambria Math"/>
                        <w:highlight w:val="none"/>
                      </w:rPr>
                      <m:t>F</m:t>
                    </m:r>
                    <m:ctrlPr>
                      <w:rPr>
                        <w:rFonts w:ascii="Cambria Math" w:hAnsi="Cambria Math"/>
                        <w:i/>
                        <w:highlight w:val="none"/>
                      </w:rPr>
                    </m:ctrlPr>
                  </m:e>
                  <m:sub>
                    <m:r>
                      <m:rPr>
                        <m:nor/>
                      </m:rPr>
                      <w:rPr>
                        <w:rFonts w:hint="default" w:ascii="Cambria Math" w:hAnsi="Cambria Math"/>
                        <w:i/>
                        <w:highlight w:val="none"/>
                        <w:lang w:val="en-US" w:eastAsia="zh-CN"/>
                      </w:rPr>
                      <m:t>B,</m:t>
                    </m:r>
                    <m:r>
                      <m:rPr>
                        <m:nor/>
                      </m:rPr>
                      <w:rPr>
                        <w:rFonts w:ascii="Cambria Math" w:hAnsi="Cambria Math"/>
                        <w:i/>
                        <w:highlight w:val="none"/>
                      </w:rPr>
                      <m:t>i,j</m:t>
                    </m:r>
                    <m:ctrlPr>
                      <w:rPr>
                        <w:rFonts w:ascii="Cambria Math" w:hAnsi="Cambria Math"/>
                        <w:i/>
                        <w:highlight w:val="none"/>
                      </w:rPr>
                    </m:ctrlPr>
                  </m:sub>
                </m:sSub>
                <m:ctrlPr>
                  <w:rPr>
                    <w:rFonts w:ascii="Cambria Math" w:hAnsi="Cambria Math"/>
                    <w:i/>
                    <w:highlight w:val="none"/>
                  </w:rPr>
                </m:ctrlPr>
              </m:e>
            </m:d>
            <m:ctrlPr>
              <w:rPr>
                <w:rFonts w:ascii="Cambria Math" w:hAnsi="Cambria Math"/>
                <w:i/>
                <w:highlight w:val="none"/>
              </w:rPr>
            </m:ctrlPr>
          </m:e>
        </m:nary>
        <m:r>
          <m:rPr>
            <m:sty m:val="p"/>
          </m:rPr>
          <w:rPr>
            <w:rFonts w:ascii="Times New Roman"/>
            <w:highlight w:val="none"/>
          </w:rPr>
          <m:t>+</m:t>
        </m:r>
        <m:nary>
          <m:naryPr>
            <m:chr m:val="∑"/>
            <m:subHide m:val="1"/>
            <m:supHide m:val="1"/>
            <m:ctrlPr>
              <w:rPr>
                <w:rFonts w:ascii="Cambria Math" w:hAnsi="Cambria Math"/>
                <w:i/>
                <w:highlight w:val="none"/>
              </w:rPr>
            </m:ctrlPr>
          </m:naryPr>
          <m:sub>
            <m:ctrlPr>
              <w:rPr>
                <w:rFonts w:ascii="Cambria Math" w:hAnsi="Cambria Math"/>
                <w:i/>
                <w:highlight w:val="none"/>
              </w:rPr>
            </m:ctrlPr>
          </m:sub>
          <m:sup>
            <m:ctrlPr>
              <w:rPr>
                <w:rFonts w:ascii="Cambria Math" w:hAnsi="Cambria Math"/>
                <w:i/>
                <w:highlight w:val="none"/>
              </w:rPr>
            </m:ctrlPr>
          </m:sup>
          <m:e>
            <m:d>
              <m:dPr>
                <m:ctrlPr>
                  <w:rPr>
                    <w:rFonts w:ascii="Cambria Math" w:hAnsi="Cambria Math"/>
                    <w:i/>
                    <w:highlight w:val="none"/>
                  </w:rPr>
                </m:ctrlPr>
              </m:dPr>
              <m:e>
                <m:sSub>
                  <m:sSubPr>
                    <m:ctrlPr>
                      <w:rPr>
                        <w:rFonts w:ascii="Cambria Math" w:hAnsi="Cambria Math"/>
                        <w:i/>
                        <w:highlight w:val="none"/>
                      </w:rPr>
                    </m:ctrlPr>
                  </m:sSubPr>
                  <m:e>
                    <m:r>
                      <m:rPr/>
                      <w:rPr>
                        <w:rFonts w:ascii="Cambria Math" w:hAnsi="Cambria Math"/>
                        <w:highlight w:val="none"/>
                      </w:rPr>
                      <m:t>M</m:t>
                    </m:r>
                    <m:ctrlPr>
                      <w:rPr>
                        <w:rFonts w:ascii="Cambria Math" w:hAnsi="Cambria Math"/>
                        <w:i/>
                        <w:highlight w:val="none"/>
                      </w:rPr>
                    </m:ctrlPr>
                  </m:e>
                  <m:sub>
                    <m:r>
                      <m:rPr>
                        <m:nor/>
                      </m:rPr>
                      <w:rPr>
                        <w:rFonts w:hint="default" w:ascii="Cambria Math" w:hAnsi="Cambria Math"/>
                        <w:i/>
                        <w:highlight w:val="none"/>
                        <w:lang w:val="en-US" w:eastAsia="zh-CN"/>
                      </w:rPr>
                      <m:t>B,</m:t>
                    </m:r>
                    <m:r>
                      <m:rPr>
                        <m:nor/>
                      </m:rPr>
                      <w:rPr>
                        <w:rFonts w:ascii="Cambria Math" w:hAnsi="Cambria Math"/>
                        <w:i/>
                        <w:highlight w:val="none"/>
                      </w:rPr>
                      <m:t>j</m:t>
                    </m:r>
                    <m:r>
                      <m:rPr>
                        <m:nor/>
                      </m:rPr>
                      <w:rPr>
                        <w:rFonts w:hint="default" w:ascii="Cambria Math" w:hAnsi="Cambria Math"/>
                        <w:i/>
                        <w:highlight w:val="none"/>
                        <w:lang w:val="en-US" w:eastAsia="zh-CN"/>
                      </w:rPr>
                      <m:t>,k</m:t>
                    </m:r>
                    <m:ctrlPr>
                      <w:rPr>
                        <w:rFonts w:ascii="Cambria Math" w:hAnsi="Cambria Math"/>
                        <w:i/>
                        <w:highlight w:val="none"/>
                      </w:rPr>
                    </m:ctrlPr>
                  </m:sub>
                </m:sSub>
                <m:r>
                  <m:rPr/>
                  <w:rPr>
                    <w:rFonts w:ascii="Cambria Math" w:hAnsi="Cambria Math"/>
                    <w:highlight w:val="none"/>
                  </w:rPr>
                  <m:t>×</m:t>
                </m:r>
                <m:sSub>
                  <m:sSubPr>
                    <m:ctrlPr>
                      <w:rPr>
                        <w:rFonts w:ascii="Cambria Math" w:hAnsi="Cambria Math"/>
                        <w:i/>
                        <w:highlight w:val="none"/>
                      </w:rPr>
                    </m:ctrlPr>
                  </m:sSubPr>
                  <m:e>
                    <m:r>
                      <m:rPr/>
                      <w:rPr>
                        <w:rFonts w:ascii="Cambria Math" w:hAnsi="Cambria Math"/>
                        <w:highlight w:val="none"/>
                      </w:rPr>
                      <m:t>D</m:t>
                    </m:r>
                    <m:ctrlPr>
                      <w:rPr>
                        <w:rFonts w:ascii="Cambria Math" w:hAnsi="Cambria Math"/>
                        <w:i/>
                        <w:highlight w:val="none"/>
                      </w:rPr>
                    </m:ctrlPr>
                  </m:e>
                  <m:sub>
                    <m:r>
                      <m:rPr/>
                      <w:rPr>
                        <w:rFonts w:hint="default" w:ascii="Cambria Math" w:hAnsi="Cambria Math"/>
                        <w:highlight w:val="none"/>
                        <w:lang w:val="en-US" w:eastAsia="zh-CN"/>
                      </w:rPr>
                      <m:t>B,</m:t>
                    </m:r>
                    <m:r>
                      <m:rPr/>
                      <w:rPr>
                        <w:rFonts w:ascii="Cambria Math" w:hAnsi="Cambria Math"/>
                        <w:highlight w:val="none"/>
                      </w:rPr>
                      <m:t>j,k</m:t>
                    </m:r>
                    <m:ctrlPr>
                      <w:rPr>
                        <w:rFonts w:ascii="Cambria Math" w:hAnsi="Cambria Math"/>
                        <w:i/>
                        <w:highlight w:val="none"/>
                      </w:rPr>
                    </m:ctrlPr>
                  </m:sub>
                </m:sSub>
                <m:r>
                  <m:rPr/>
                  <w:rPr>
                    <w:rFonts w:ascii="Cambria Math" w:hAnsi="Cambria Math"/>
                    <w:highlight w:val="none"/>
                  </w:rPr>
                  <m:t>×TE</m:t>
                </m:r>
                <m:sSub>
                  <m:sSubPr>
                    <m:ctrlPr>
                      <w:rPr>
                        <w:rFonts w:ascii="Cambria Math" w:hAnsi="Cambria Math"/>
                        <w:i/>
                        <w:highlight w:val="none"/>
                      </w:rPr>
                    </m:ctrlPr>
                  </m:sSubPr>
                  <m:e>
                    <m:r>
                      <m:rPr/>
                      <w:rPr>
                        <w:rFonts w:ascii="Cambria Math" w:hAnsi="Cambria Math"/>
                        <w:highlight w:val="none"/>
                      </w:rPr>
                      <m:t>F</m:t>
                    </m:r>
                    <m:ctrlPr>
                      <w:rPr>
                        <w:rFonts w:ascii="Cambria Math" w:hAnsi="Cambria Math"/>
                        <w:i/>
                        <w:highlight w:val="none"/>
                      </w:rPr>
                    </m:ctrlPr>
                  </m:e>
                  <m:sub>
                    <m:r>
                      <m:rPr>
                        <m:nor/>
                      </m:rPr>
                      <w:rPr>
                        <w:rFonts w:ascii="Cambria Math" w:hAnsi="Cambria Math"/>
                        <w:i/>
                        <w:highlight w:val="none"/>
                      </w:rPr>
                      <m:t>i,k</m:t>
                    </m:r>
                    <m:ctrlPr>
                      <w:rPr>
                        <w:rFonts w:ascii="Cambria Math" w:hAnsi="Cambria Math"/>
                        <w:i/>
                        <w:highlight w:val="none"/>
                      </w:rPr>
                    </m:ctrlPr>
                  </m:sub>
                </m:sSub>
                <m:ctrlPr>
                  <w:rPr>
                    <w:rFonts w:ascii="Cambria Math" w:hAnsi="Cambria Math"/>
                    <w:i/>
                    <w:highlight w:val="none"/>
                  </w:rPr>
                </m:ctrlPr>
              </m:e>
            </m:d>
            <m:ctrlPr>
              <w:rPr>
                <w:rFonts w:ascii="Cambria Math" w:hAnsi="Cambria Math"/>
                <w:i/>
                <w:highlight w:val="none"/>
              </w:rPr>
            </m:ctrlPr>
          </m:e>
        </m:nary>
        <m:r>
          <m:rPr/>
          <w:rPr>
            <w:rFonts w:hint="default" w:ascii="Cambria Math" w:hAnsi="Cambria Math"/>
            <w:highlight w:val="none"/>
            <w:lang w:val="en-US" w:eastAsia="zh-CN"/>
          </w:rPr>
          <m:t>+</m:t>
        </m:r>
        <m:nary>
          <m:naryPr>
            <m:chr m:val="∑"/>
            <m:limLoc m:val="undOvr"/>
            <m:subHide m:val="1"/>
            <m:supHide m:val="1"/>
            <m:ctrlPr>
              <w:rPr>
                <w:rFonts w:ascii="Cambria Math" w:hAnsi="Cambria Math"/>
                <w:i/>
                <w:szCs w:val="21"/>
                <w:highlight w:val="none"/>
              </w:rPr>
            </m:ctrlPr>
          </m:naryPr>
          <m:sub>
            <m:ctrlPr>
              <w:rPr>
                <w:rFonts w:ascii="Cambria Math" w:hAnsi="Cambria Math"/>
                <w:i/>
                <w:szCs w:val="21"/>
                <w:highlight w:val="none"/>
              </w:rPr>
            </m:ctrlPr>
          </m:sub>
          <m:sup>
            <m:ctrlPr>
              <w:rPr>
                <w:rFonts w:ascii="Cambria Math" w:hAnsi="Cambria Math"/>
                <w:i/>
                <w:szCs w:val="21"/>
                <w:highlight w:val="none"/>
              </w:rPr>
            </m:ctrlPr>
          </m:sup>
          <m:e>
            <m:r>
              <m:rPr/>
              <w:rPr>
                <w:rFonts w:ascii="Cambria Math" w:hAnsi="Cambria Math"/>
                <w:szCs w:val="21"/>
                <w:highlight w:val="none"/>
              </w:rPr>
              <m:t>(</m:t>
            </m:r>
            <m:sSub>
              <m:sSubPr>
                <m:ctrlPr>
                  <w:rPr>
                    <w:rFonts w:ascii="Cambria Math" w:hAnsi="Cambria Math"/>
                    <w:i/>
                    <w:szCs w:val="21"/>
                    <w:highlight w:val="none"/>
                  </w:rPr>
                </m:ctrlPr>
              </m:sSubPr>
              <m:e>
                <m:sSub>
                  <m:sSubPr>
                    <m:ctrlPr>
                      <w:rPr>
                        <w:rFonts w:ascii="Cambria Math" w:hAnsi="Cambria Math"/>
                        <w:i/>
                        <w:szCs w:val="21"/>
                        <w:highlight w:val="none"/>
                      </w:rPr>
                    </m:ctrlPr>
                  </m:sSubPr>
                  <m:e>
                    <m:r>
                      <m:rPr/>
                      <w:rPr>
                        <w:rFonts w:ascii="Cambria Math" w:hAnsi="Cambria Math"/>
                        <w:szCs w:val="21"/>
                        <w:highlight w:val="none"/>
                      </w:rPr>
                      <m:t>FC</m:t>
                    </m:r>
                    <m:ctrlPr>
                      <w:rPr>
                        <w:rFonts w:ascii="Cambria Math" w:hAnsi="Cambria Math"/>
                        <w:i/>
                        <w:szCs w:val="21"/>
                        <w:highlight w:val="none"/>
                      </w:rPr>
                    </m:ctrlPr>
                  </m:e>
                  <m:sub>
                    <m:r>
                      <m:rPr/>
                      <w:rPr>
                        <w:rFonts w:hint="default" w:ascii="Cambria Math" w:hAnsi="Cambria Math"/>
                        <w:szCs w:val="21"/>
                        <w:highlight w:val="none"/>
                        <w:lang w:val="en-US" w:eastAsia="zh-CN"/>
                      </w:rPr>
                      <m:t>B,</m:t>
                    </m:r>
                    <m:r>
                      <m:rPr/>
                      <w:rPr>
                        <w:rFonts w:ascii="Cambria Math" w:hAnsi="Cambria Math"/>
                        <w:szCs w:val="21"/>
                        <w:highlight w:val="none"/>
                      </w:rPr>
                      <m:t>j,k</m:t>
                    </m:r>
                    <m:ctrlPr>
                      <w:rPr>
                        <w:rFonts w:ascii="Cambria Math" w:hAnsi="Cambria Math"/>
                        <w:i/>
                        <w:szCs w:val="21"/>
                        <w:highlight w:val="none"/>
                      </w:rPr>
                    </m:ctrlPr>
                  </m:sub>
                </m:sSub>
                <m:r>
                  <m:rPr/>
                  <w:rPr>
                    <w:rFonts w:ascii="Cambria Math" w:hAnsi="Cambria Math"/>
                    <w:szCs w:val="21"/>
                    <w:highlight w:val="none"/>
                  </w:rPr>
                  <m:t>×NCV</m:t>
                </m:r>
                <m:ctrlPr>
                  <w:rPr>
                    <w:rFonts w:ascii="Cambria Math" w:hAnsi="Cambria Math"/>
                    <w:i/>
                    <w:szCs w:val="21"/>
                    <w:highlight w:val="none"/>
                  </w:rPr>
                </m:ctrlPr>
              </m:e>
              <m:sub>
                <m:r>
                  <m:rPr/>
                  <w:rPr>
                    <w:rFonts w:hint="default" w:ascii="Cambria Math" w:hAnsi="Cambria Math"/>
                    <w:szCs w:val="21"/>
                    <w:highlight w:val="none"/>
                    <w:lang w:val="en-US" w:eastAsia="zh-CN"/>
                  </w:rPr>
                  <m:t>B,</m:t>
                </m:r>
                <m:r>
                  <m:rPr/>
                  <w:rPr>
                    <w:rFonts w:ascii="Cambria Math" w:hAnsi="Cambria Math"/>
                    <w:szCs w:val="21"/>
                    <w:highlight w:val="none"/>
                  </w:rPr>
                  <m:t>j</m:t>
                </m:r>
                <m:ctrlPr>
                  <w:rPr>
                    <w:rFonts w:ascii="Cambria Math" w:hAnsi="Cambria Math"/>
                    <w:i/>
                    <w:szCs w:val="21"/>
                    <w:highlight w:val="none"/>
                  </w:rPr>
                </m:ctrlPr>
              </m:sub>
            </m:sSub>
            <m:r>
              <m:rPr/>
              <w:rPr>
                <w:rFonts w:ascii="Cambria Math" w:hAnsi="Cambria Math"/>
                <w:szCs w:val="21"/>
                <w:highlight w:val="none"/>
              </w:rPr>
              <m:t>×</m:t>
            </m:r>
            <m:sSub>
              <m:sSubPr>
                <m:ctrlPr>
                  <w:rPr>
                    <w:rFonts w:ascii="Cambria Math" w:hAnsi="Cambria Math"/>
                    <w:i/>
                    <w:szCs w:val="21"/>
                    <w:highlight w:val="none"/>
                  </w:rPr>
                </m:ctrlPr>
              </m:sSubPr>
              <m:e>
                <m:r>
                  <m:rPr/>
                  <w:rPr>
                    <w:rFonts w:ascii="Cambria Math" w:hAnsi="Cambria Math"/>
                    <w:szCs w:val="21"/>
                    <w:highlight w:val="none"/>
                  </w:rPr>
                  <m:t>EF</m:t>
                </m:r>
                <m:ctrlPr>
                  <w:rPr>
                    <w:rFonts w:ascii="Cambria Math" w:hAnsi="Cambria Math"/>
                    <w:i/>
                    <w:szCs w:val="21"/>
                    <w:highlight w:val="none"/>
                  </w:rPr>
                </m:ctrlPr>
              </m:e>
              <m:sub>
                <m:r>
                  <m:rPr/>
                  <w:rPr>
                    <w:rFonts w:hint="default" w:ascii="Cambria Math" w:hAnsi="Cambria Math"/>
                    <w:szCs w:val="21"/>
                    <w:highlight w:val="none"/>
                    <w:lang w:val="en-US" w:eastAsia="zh-CN"/>
                  </w:rPr>
                  <m:t>B,</m:t>
                </m:r>
                <m:r>
                  <m:rPr/>
                  <w:rPr>
                    <w:rFonts w:ascii="Cambria Math" w:hAnsi="Cambria Math"/>
                    <w:szCs w:val="21"/>
                    <w:highlight w:val="none"/>
                  </w:rPr>
                  <m:t>i,j,k</m:t>
                </m:r>
                <m:ctrlPr>
                  <w:rPr>
                    <w:rFonts w:ascii="Cambria Math" w:hAnsi="Cambria Math"/>
                    <w:i/>
                    <w:szCs w:val="21"/>
                    <w:highlight w:val="none"/>
                  </w:rPr>
                </m:ctrlPr>
              </m:sub>
            </m:sSub>
            <m:r>
              <m:rPr/>
              <w:rPr>
                <w:rFonts w:ascii="Cambria Math" w:hAnsi="Cambria Math"/>
                <w:szCs w:val="21"/>
                <w:highlight w:val="none"/>
              </w:rPr>
              <m:t>)</m:t>
            </m:r>
            <m:ctrlPr>
              <w:rPr>
                <w:rFonts w:ascii="Cambria Math" w:hAnsi="Cambria Math"/>
                <w:i/>
                <w:szCs w:val="21"/>
                <w:highlight w:val="none"/>
              </w:rPr>
            </m:ctrlPr>
          </m:e>
        </m:nary>
      </m:oMath>
      <w:r>
        <w:rPr>
          <w:rFonts w:ascii="Times New Roman"/>
          <w:szCs w:val="21"/>
          <w:highlight w:val="none"/>
        </w:rPr>
        <w:t xml:space="preserve">               （4）</w:t>
      </w:r>
    </w:p>
    <w:p w14:paraId="0F2E9EB8">
      <w:pPr>
        <w:pStyle w:val="27"/>
        <w:spacing w:line="276" w:lineRule="auto"/>
        <w:jc w:val="left"/>
        <w:rPr>
          <w:rFonts w:ascii="Times New Roman"/>
          <w:szCs w:val="21"/>
          <w:highlight w:val="none"/>
        </w:rPr>
      </w:pPr>
      <w:r>
        <w:rPr>
          <w:rFonts w:ascii="Times New Roman"/>
          <w:szCs w:val="21"/>
          <w:highlight w:val="none"/>
        </w:rPr>
        <w:t>式中：</w:t>
      </w:r>
    </w:p>
    <w:tbl>
      <w:tblPr>
        <w:tblStyle w:val="36"/>
        <w:tblW w:w="4780" w:type="pct"/>
        <w:jc w:val="right"/>
        <w:tblLayout w:type="fixed"/>
        <w:tblCellMar>
          <w:top w:w="0" w:type="dxa"/>
          <w:left w:w="108" w:type="dxa"/>
          <w:bottom w:w="0" w:type="dxa"/>
          <w:right w:w="108" w:type="dxa"/>
        </w:tblCellMar>
      </w:tblPr>
      <w:tblGrid>
        <w:gridCol w:w="1009"/>
        <w:gridCol w:w="717"/>
        <w:gridCol w:w="7802"/>
      </w:tblGrid>
      <w:tr w14:paraId="4AA4DE6B">
        <w:tblPrEx>
          <w:tblCellMar>
            <w:top w:w="0" w:type="dxa"/>
            <w:left w:w="108" w:type="dxa"/>
            <w:bottom w:w="0" w:type="dxa"/>
            <w:right w:w="108" w:type="dxa"/>
          </w:tblCellMar>
        </w:tblPrEx>
        <w:trPr>
          <w:trHeight w:val="480" w:hRule="atLeast"/>
          <w:jc w:val="right"/>
        </w:trPr>
        <w:tc>
          <w:tcPr>
            <w:tcW w:w="1009" w:type="dxa"/>
            <w:vAlign w:val="center"/>
          </w:tcPr>
          <w:p w14:paraId="0C64C108">
            <w:pPr>
              <w:pStyle w:val="27"/>
              <w:spacing w:line="276" w:lineRule="auto"/>
              <w:ind w:left="0" w:leftChars="0" w:firstLine="0" w:firstLineChars="0"/>
              <w:jc w:val="center"/>
              <w:rPr>
                <w:rFonts w:ascii="Cambria Math" w:hAnsi="Cambria Math"/>
                <w:i/>
                <w:szCs w:val="21"/>
                <w:highlight w:val="none"/>
                <w:oMath/>
              </w:rPr>
            </w:pPr>
            <w:r>
              <w:rPr>
                <w:rFonts w:ascii="Times New Roman"/>
                <w:i/>
                <w:iCs/>
                <w:szCs w:val="18"/>
                <w:highlight w:val="none"/>
              </w:rPr>
              <w:t>M</w:t>
            </w:r>
            <w:r>
              <w:rPr>
                <w:rFonts w:hint="eastAsia" w:ascii="Times New Roman"/>
                <w:i/>
                <w:iCs/>
                <w:szCs w:val="18"/>
                <w:highlight w:val="none"/>
                <w:vertAlign w:val="subscript"/>
                <w:lang w:val="en-US" w:eastAsia="zh-CN"/>
              </w:rPr>
              <w:t>B,</w:t>
            </w:r>
            <w:r>
              <w:rPr>
                <w:rFonts w:ascii="Times New Roman"/>
                <w:i/>
                <w:iCs/>
                <w:szCs w:val="18"/>
                <w:highlight w:val="none"/>
                <w:vertAlign w:val="subscript"/>
              </w:rPr>
              <w:t>j</w:t>
            </w:r>
          </w:p>
        </w:tc>
        <w:tc>
          <w:tcPr>
            <w:tcW w:w="717" w:type="dxa"/>
            <w:vAlign w:val="top"/>
          </w:tcPr>
          <w:p w14:paraId="11756428">
            <w:pPr>
              <w:pStyle w:val="27"/>
              <w:spacing w:line="276" w:lineRule="auto"/>
              <w:ind w:firstLine="0" w:firstLineChars="0"/>
              <w:rPr>
                <w:rFonts w:hint="eastAsia" w:ascii="Times New Roman"/>
                <w:szCs w:val="21"/>
                <w:highlight w:val="none"/>
              </w:rPr>
            </w:pPr>
            <w:r>
              <w:rPr>
                <w:rFonts w:ascii="Times New Roman"/>
                <w:szCs w:val="21"/>
                <w:highlight w:val="none"/>
              </w:rPr>
              <w:t>——</w:t>
            </w:r>
          </w:p>
        </w:tc>
        <w:tc>
          <w:tcPr>
            <w:tcW w:w="7804" w:type="dxa"/>
            <w:vAlign w:val="top"/>
          </w:tcPr>
          <w:p w14:paraId="162CF2D1">
            <w:pPr>
              <w:pStyle w:val="27"/>
              <w:spacing w:line="276" w:lineRule="auto"/>
              <w:ind w:firstLine="0" w:firstLineChars="0"/>
              <w:rPr>
                <w:szCs w:val="21"/>
                <w:highlight w:val="none"/>
              </w:rPr>
            </w:pPr>
            <w:r>
              <w:rPr>
                <w:rFonts w:ascii="Times New Roman"/>
                <w:szCs w:val="21"/>
                <w:highlight w:val="none"/>
              </w:rPr>
              <w:t>每功能单位（</w:t>
            </w:r>
            <w:r>
              <w:rPr>
                <w:rFonts w:hint="eastAsia" w:ascii="Times New Roman"/>
                <w:szCs w:val="21"/>
                <w:highlight w:val="none"/>
              </w:rPr>
              <w:t>声明单位</w:t>
            </w:r>
            <w:r>
              <w:rPr>
                <w:rFonts w:ascii="Times New Roman"/>
                <w:szCs w:val="21"/>
                <w:highlight w:val="none"/>
              </w:rPr>
              <w:t>）</w:t>
            </w:r>
            <w:r>
              <w:rPr>
                <w:rFonts w:hint="eastAsia" w:ascii="Times New Roman"/>
                <w:szCs w:val="21"/>
                <w:highlight w:val="none"/>
                <w:lang w:val="en-US" w:eastAsia="zh-CN"/>
              </w:rPr>
              <w:t>产品生产阶段</w:t>
            </w:r>
            <w:r>
              <w:rPr>
                <w:rFonts w:ascii="Times New Roman"/>
                <w:szCs w:val="18"/>
                <w:highlight w:val="none"/>
              </w:rPr>
              <w:t>第</w:t>
            </w:r>
            <w:r>
              <w:rPr>
                <w:rFonts w:ascii="Times New Roman"/>
                <w:i/>
                <w:iCs/>
                <w:szCs w:val="21"/>
                <w:highlight w:val="none"/>
              </w:rPr>
              <w:t>j</w:t>
            </w:r>
            <w:r>
              <w:rPr>
                <w:rFonts w:ascii="Times New Roman"/>
                <w:szCs w:val="18"/>
                <w:highlight w:val="none"/>
              </w:rPr>
              <w:t>种</w:t>
            </w:r>
            <w:r>
              <w:rPr>
                <w:rFonts w:hint="eastAsia" w:ascii="Times New Roman"/>
                <w:szCs w:val="18"/>
                <w:highlight w:val="none"/>
                <w:lang w:val="en-US" w:eastAsia="zh-CN"/>
              </w:rPr>
              <w:t>燃料</w:t>
            </w:r>
            <w:r>
              <w:rPr>
                <w:rFonts w:ascii="Times New Roman"/>
                <w:szCs w:val="18"/>
                <w:highlight w:val="none"/>
              </w:rPr>
              <w:t>的消耗量，单位视</w:t>
            </w:r>
            <w:r>
              <w:rPr>
                <w:rFonts w:hint="eastAsia" w:ascii="Times New Roman"/>
                <w:szCs w:val="18"/>
                <w:highlight w:val="none"/>
                <w:lang w:val="en-US" w:eastAsia="zh-CN"/>
              </w:rPr>
              <w:t>燃料和物料</w:t>
            </w:r>
            <w:r>
              <w:rPr>
                <w:rFonts w:ascii="Times New Roman"/>
                <w:szCs w:val="18"/>
                <w:highlight w:val="none"/>
              </w:rPr>
              <w:t>种类而定；</w:t>
            </w:r>
          </w:p>
        </w:tc>
      </w:tr>
      <w:tr w14:paraId="281FB2AB">
        <w:tblPrEx>
          <w:tblCellMar>
            <w:top w:w="0" w:type="dxa"/>
            <w:left w:w="108" w:type="dxa"/>
            <w:bottom w:w="0" w:type="dxa"/>
            <w:right w:w="108" w:type="dxa"/>
          </w:tblCellMar>
        </w:tblPrEx>
        <w:trPr>
          <w:trHeight w:val="480" w:hRule="atLeast"/>
          <w:jc w:val="right"/>
        </w:trPr>
        <w:tc>
          <w:tcPr>
            <w:tcW w:w="1009" w:type="dxa"/>
            <w:vAlign w:val="center"/>
          </w:tcPr>
          <w:p w14:paraId="260D5BB3">
            <w:pPr>
              <w:pStyle w:val="27"/>
              <w:spacing w:line="276" w:lineRule="auto"/>
              <w:ind w:firstLine="0" w:firstLineChars="0"/>
              <w:jc w:val="center"/>
              <w:rPr>
                <w:rFonts w:ascii="Cambria Math" w:hAnsi="Cambria Math"/>
                <w:i/>
                <w:szCs w:val="21"/>
                <w:highlight w:val="none"/>
                <w:oMath/>
              </w:rPr>
            </w:pPr>
            <w:r>
              <w:rPr>
                <w:rFonts w:ascii="Times New Roman"/>
                <w:i/>
                <w:szCs w:val="18"/>
                <w:highlight w:val="none"/>
              </w:rPr>
              <w:t>CEF</w:t>
            </w:r>
            <w:r>
              <w:rPr>
                <w:rFonts w:hint="eastAsia" w:ascii="Times New Roman"/>
                <w:i/>
                <w:szCs w:val="18"/>
                <w:highlight w:val="none"/>
                <w:vertAlign w:val="subscript"/>
                <w:lang w:val="en-US" w:eastAsia="zh-CN"/>
              </w:rPr>
              <w:t>B,</w:t>
            </w:r>
            <w:r>
              <w:rPr>
                <w:rFonts w:ascii="Times New Roman"/>
                <w:i/>
                <w:szCs w:val="18"/>
                <w:highlight w:val="none"/>
                <w:vertAlign w:val="subscript"/>
              </w:rPr>
              <w:t>i,j</w:t>
            </w:r>
          </w:p>
        </w:tc>
        <w:tc>
          <w:tcPr>
            <w:tcW w:w="717" w:type="dxa"/>
            <w:vAlign w:val="top"/>
          </w:tcPr>
          <w:p w14:paraId="6AB69925">
            <w:pPr>
              <w:pStyle w:val="27"/>
              <w:spacing w:line="276" w:lineRule="auto"/>
              <w:ind w:firstLine="0" w:firstLineChars="0"/>
              <w:rPr>
                <w:rFonts w:hint="eastAsia" w:ascii="Times New Roman"/>
                <w:szCs w:val="21"/>
                <w:highlight w:val="none"/>
              </w:rPr>
            </w:pPr>
            <w:r>
              <w:rPr>
                <w:rFonts w:ascii="Times New Roman"/>
                <w:szCs w:val="21"/>
                <w:highlight w:val="none"/>
              </w:rPr>
              <w:t>——</w:t>
            </w:r>
          </w:p>
        </w:tc>
        <w:tc>
          <w:tcPr>
            <w:tcW w:w="7804" w:type="dxa"/>
            <w:vAlign w:val="top"/>
          </w:tcPr>
          <w:p w14:paraId="158690BE">
            <w:pPr>
              <w:pStyle w:val="27"/>
              <w:spacing w:line="276" w:lineRule="auto"/>
              <w:ind w:firstLine="0" w:firstLineChars="0"/>
              <w:rPr>
                <w:szCs w:val="21"/>
                <w:highlight w:val="none"/>
              </w:rPr>
            </w:pPr>
            <w:r>
              <w:rPr>
                <w:rFonts w:ascii="Times New Roman"/>
                <w:szCs w:val="18"/>
                <w:highlight w:val="none"/>
              </w:rPr>
              <w:t>第</w:t>
            </w:r>
            <w:r>
              <w:rPr>
                <w:rFonts w:ascii="Times New Roman"/>
                <w:i/>
                <w:iCs/>
                <w:szCs w:val="21"/>
                <w:highlight w:val="none"/>
              </w:rPr>
              <w:t>j</w:t>
            </w:r>
            <w:r>
              <w:rPr>
                <w:rFonts w:ascii="Times New Roman"/>
                <w:szCs w:val="18"/>
                <w:highlight w:val="none"/>
              </w:rPr>
              <w:t>种</w:t>
            </w:r>
            <w:r>
              <w:rPr>
                <w:rFonts w:hint="eastAsia" w:ascii="Times New Roman"/>
                <w:szCs w:val="18"/>
                <w:highlight w:val="none"/>
                <w:lang w:val="en-US" w:eastAsia="zh-CN"/>
              </w:rPr>
              <w:t>燃料和物料获取</w:t>
            </w:r>
            <w:r>
              <w:rPr>
                <w:rFonts w:ascii="Times New Roman"/>
                <w:szCs w:val="18"/>
                <w:highlight w:val="none"/>
              </w:rPr>
              <w:t>的第</w:t>
            </w:r>
            <w:r>
              <w:rPr>
                <w:rFonts w:ascii="Times New Roman"/>
                <w:i/>
                <w:iCs/>
                <w:szCs w:val="21"/>
                <w:highlight w:val="none"/>
              </w:rPr>
              <w:t>i</w:t>
            </w:r>
            <w:r>
              <w:rPr>
                <w:rFonts w:ascii="Times New Roman"/>
                <w:szCs w:val="18"/>
                <w:highlight w:val="none"/>
              </w:rPr>
              <w:t>种温室气体排放因子，单位视</w:t>
            </w:r>
            <w:r>
              <w:rPr>
                <w:rFonts w:hint="eastAsia" w:ascii="Times New Roman"/>
                <w:szCs w:val="18"/>
                <w:highlight w:val="none"/>
                <w:lang w:val="en-US" w:eastAsia="zh-CN"/>
              </w:rPr>
              <w:t>燃料</w:t>
            </w:r>
            <w:r>
              <w:rPr>
                <w:rFonts w:ascii="Times New Roman"/>
                <w:szCs w:val="18"/>
                <w:highlight w:val="none"/>
              </w:rPr>
              <w:t>种类而定；</w:t>
            </w:r>
          </w:p>
        </w:tc>
      </w:tr>
      <w:tr w14:paraId="1E196A09">
        <w:tblPrEx>
          <w:tblCellMar>
            <w:top w:w="0" w:type="dxa"/>
            <w:left w:w="108" w:type="dxa"/>
            <w:bottom w:w="0" w:type="dxa"/>
            <w:right w:w="108" w:type="dxa"/>
          </w:tblCellMar>
        </w:tblPrEx>
        <w:trPr>
          <w:trHeight w:val="480" w:hRule="atLeast"/>
          <w:jc w:val="right"/>
        </w:trPr>
        <w:tc>
          <w:tcPr>
            <w:tcW w:w="1009" w:type="dxa"/>
            <w:vAlign w:val="center"/>
          </w:tcPr>
          <w:p w14:paraId="61D46E79">
            <w:pPr>
              <w:pStyle w:val="27"/>
              <w:spacing w:line="276" w:lineRule="auto"/>
              <w:ind w:firstLine="0" w:firstLineChars="0"/>
              <w:jc w:val="center"/>
              <w:rPr>
                <w:rFonts w:ascii="Times New Roman"/>
                <w:i/>
                <w:szCs w:val="18"/>
                <w:highlight w:val="none"/>
              </w:rPr>
            </w:pPr>
            <m:oMathPara>
              <m:oMath>
                <m:sSub>
                  <m:sSubPr>
                    <m:ctrlPr>
                      <w:rPr>
                        <w:rFonts w:ascii="Cambria Math" w:hAnsi="Cambria Math"/>
                        <w:i/>
                        <w:highlight w:val="none"/>
                      </w:rPr>
                    </m:ctrlPr>
                  </m:sSubPr>
                  <m:e>
                    <m:r>
                      <m:rPr/>
                      <w:rPr>
                        <w:rFonts w:ascii="Cambria Math" w:hAnsi="Cambria Math"/>
                        <w:highlight w:val="none"/>
                      </w:rPr>
                      <m:t>M</m:t>
                    </m:r>
                    <m:ctrlPr>
                      <w:rPr>
                        <w:rFonts w:ascii="Cambria Math" w:hAnsi="Cambria Math"/>
                        <w:i/>
                        <w:highlight w:val="none"/>
                      </w:rPr>
                    </m:ctrlPr>
                  </m:e>
                  <m:sub>
                    <m:r>
                      <m:rPr>
                        <m:nor/>
                      </m:rPr>
                      <w:rPr>
                        <w:rFonts w:hint="default" w:ascii="Cambria Math" w:hAnsi="Cambria Math"/>
                        <w:i/>
                        <w:highlight w:val="none"/>
                        <w:lang w:val="en-US" w:eastAsia="zh-CN"/>
                      </w:rPr>
                      <m:t>B,</m:t>
                    </m:r>
                    <m:r>
                      <m:rPr>
                        <m:nor/>
                      </m:rPr>
                      <w:rPr>
                        <w:rFonts w:ascii="Cambria Math" w:hAnsi="Cambria Math"/>
                        <w:i/>
                        <w:highlight w:val="none"/>
                      </w:rPr>
                      <m:t>j</m:t>
                    </m:r>
                    <m:r>
                      <m:rPr>
                        <m:nor/>
                      </m:rPr>
                      <w:rPr>
                        <w:rFonts w:hint="default" w:ascii="Cambria Math" w:hAnsi="Cambria Math"/>
                        <w:i/>
                        <w:highlight w:val="none"/>
                        <w:lang w:val="en-US" w:eastAsia="zh-CN"/>
                      </w:rPr>
                      <m:t>,k</m:t>
                    </m:r>
                    <m:ctrlPr>
                      <w:rPr>
                        <w:rFonts w:ascii="Cambria Math" w:hAnsi="Cambria Math"/>
                        <w:i/>
                        <w:highlight w:val="none"/>
                      </w:rPr>
                    </m:ctrlPr>
                  </m:sub>
                </m:sSub>
              </m:oMath>
            </m:oMathPara>
          </w:p>
        </w:tc>
        <w:tc>
          <w:tcPr>
            <w:tcW w:w="717" w:type="dxa"/>
            <w:vAlign w:val="top"/>
          </w:tcPr>
          <w:p w14:paraId="71065E00">
            <w:pPr>
              <w:pStyle w:val="27"/>
              <w:spacing w:line="276" w:lineRule="auto"/>
              <w:ind w:firstLine="0" w:firstLineChars="0"/>
              <w:rPr>
                <w:rFonts w:ascii="Times New Roman"/>
                <w:szCs w:val="21"/>
                <w:highlight w:val="none"/>
              </w:rPr>
            </w:pPr>
            <w:r>
              <w:rPr>
                <w:rFonts w:ascii="Times New Roman"/>
                <w:szCs w:val="21"/>
                <w:highlight w:val="none"/>
              </w:rPr>
              <w:t>——</w:t>
            </w:r>
          </w:p>
        </w:tc>
        <w:tc>
          <w:tcPr>
            <w:tcW w:w="7804" w:type="dxa"/>
            <w:vAlign w:val="top"/>
          </w:tcPr>
          <w:p w14:paraId="445C9232">
            <w:pPr>
              <w:pStyle w:val="27"/>
              <w:spacing w:line="276" w:lineRule="auto"/>
              <w:ind w:firstLine="0" w:firstLineChars="0"/>
              <w:rPr>
                <w:rFonts w:ascii="Times New Roman"/>
                <w:szCs w:val="18"/>
                <w:highlight w:val="none"/>
              </w:rPr>
            </w:pPr>
            <w:r>
              <w:rPr>
                <w:rFonts w:ascii="Times New Roman"/>
                <w:szCs w:val="21"/>
                <w:highlight w:val="none"/>
              </w:rPr>
              <w:t>每功能单位（</w:t>
            </w:r>
            <w:r>
              <w:rPr>
                <w:rFonts w:hint="eastAsia" w:ascii="Times New Roman"/>
                <w:szCs w:val="21"/>
                <w:highlight w:val="none"/>
              </w:rPr>
              <w:t>声明单位</w:t>
            </w:r>
            <w:r>
              <w:rPr>
                <w:rFonts w:ascii="Times New Roman"/>
                <w:szCs w:val="21"/>
                <w:highlight w:val="none"/>
              </w:rPr>
              <w:t>）</w:t>
            </w:r>
            <w:r>
              <w:rPr>
                <w:rFonts w:ascii="Times New Roman"/>
                <w:szCs w:val="18"/>
                <w:highlight w:val="none"/>
              </w:rPr>
              <w:t>第</w:t>
            </w:r>
            <w:r>
              <w:rPr>
                <w:rFonts w:ascii="Times New Roman"/>
                <w:i/>
                <w:iCs/>
                <w:szCs w:val="21"/>
                <w:highlight w:val="none"/>
              </w:rPr>
              <w:t>j</w:t>
            </w:r>
            <w:r>
              <w:rPr>
                <w:rFonts w:ascii="Times New Roman"/>
                <w:szCs w:val="18"/>
                <w:highlight w:val="none"/>
              </w:rPr>
              <w:t>种</w:t>
            </w:r>
            <w:r>
              <w:rPr>
                <w:rFonts w:hint="eastAsia" w:ascii="Times New Roman"/>
                <w:szCs w:val="18"/>
                <w:highlight w:val="none"/>
                <w:lang w:val="en-US" w:eastAsia="zh-CN"/>
              </w:rPr>
              <w:t>燃料第k种运输方式</w:t>
            </w:r>
            <w:r>
              <w:rPr>
                <w:rFonts w:ascii="Times New Roman"/>
                <w:szCs w:val="18"/>
                <w:highlight w:val="none"/>
              </w:rPr>
              <w:t>的</w:t>
            </w:r>
            <w:r>
              <w:rPr>
                <w:rFonts w:hint="eastAsia" w:ascii="Times New Roman"/>
                <w:szCs w:val="18"/>
                <w:highlight w:val="none"/>
                <w:lang w:val="en-US" w:eastAsia="zh-CN"/>
              </w:rPr>
              <w:t>运输</w:t>
            </w:r>
            <w:r>
              <w:rPr>
                <w:rFonts w:ascii="Times New Roman"/>
                <w:szCs w:val="18"/>
                <w:highlight w:val="none"/>
              </w:rPr>
              <w:t>量，单位视</w:t>
            </w:r>
            <w:r>
              <w:rPr>
                <w:rFonts w:hint="eastAsia" w:ascii="Times New Roman"/>
                <w:szCs w:val="18"/>
                <w:highlight w:val="none"/>
                <w:lang w:val="en-US" w:eastAsia="zh-CN"/>
              </w:rPr>
              <w:t>燃料</w:t>
            </w:r>
            <w:r>
              <w:rPr>
                <w:rFonts w:ascii="Times New Roman"/>
                <w:szCs w:val="18"/>
                <w:highlight w:val="none"/>
              </w:rPr>
              <w:t>种类而定；</w:t>
            </w:r>
          </w:p>
        </w:tc>
      </w:tr>
      <w:tr w14:paraId="7F2B9372">
        <w:tblPrEx>
          <w:tblCellMar>
            <w:top w:w="0" w:type="dxa"/>
            <w:left w:w="108" w:type="dxa"/>
            <w:bottom w:w="0" w:type="dxa"/>
            <w:right w:w="108" w:type="dxa"/>
          </w:tblCellMar>
        </w:tblPrEx>
        <w:trPr>
          <w:trHeight w:val="480" w:hRule="atLeast"/>
          <w:jc w:val="right"/>
        </w:trPr>
        <w:tc>
          <w:tcPr>
            <w:tcW w:w="1009" w:type="dxa"/>
            <w:vAlign w:val="center"/>
          </w:tcPr>
          <w:p w14:paraId="3ED50A5F">
            <w:pPr>
              <w:pStyle w:val="27"/>
              <w:spacing w:line="276" w:lineRule="auto"/>
              <w:ind w:firstLine="0" w:firstLineChars="0"/>
              <w:jc w:val="center"/>
              <w:rPr>
                <w:rFonts w:ascii="Cambria Math" w:hAnsi="Cambria Math"/>
                <w:i/>
                <w:szCs w:val="21"/>
                <w:highlight w:val="none"/>
                <w:oMath/>
              </w:rPr>
            </w:pPr>
            <w:r>
              <w:rPr>
                <w:rFonts w:ascii="Times New Roman"/>
                <w:i/>
                <w:szCs w:val="18"/>
                <w:highlight w:val="none"/>
              </w:rPr>
              <w:t>D</w:t>
            </w:r>
            <w:r>
              <w:rPr>
                <w:rFonts w:hint="eastAsia" w:ascii="Times New Roman"/>
                <w:i/>
                <w:szCs w:val="18"/>
                <w:highlight w:val="none"/>
                <w:vertAlign w:val="subscript"/>
                <w:lang w:val="en-US" w:eastAsia="zh-CN"/>
              </w:rPr>
              <w:t>B,</w:t>
            </w:r>
            <w:r>
              <w:rPr>
                <w:rFonts w:ascii="Times New Roman"/>
                <w:i/>
                <w:szCs w:val="18"/>
                <w:highlight w:val="none"/>
                <w:vertAlign w:val="subscript"/>
              </w:rPr>
              <w:t>j,k</w:t>
            </w:r>
          </w:p>
        </w:tc>
        <w:tc>
          <w:tcPr>
            <w:tcW w:w="717" w:type="dxa"/>
            <w:vAlign w:val="top"/>
          </w:tcPr>
          <w:p w14:paraId="0FA7E8AC">
            <w:pPr>
              <w:pStyle w:val="27"/>
              <w:spacing w:line="276" w:lineRule="auto"/>
              <w:ind w:firstLine="0" w:firstLineChars="0"/>
              <w:rPr>
                <w:rFonts w:hint="eastAsia" w:ascii="Times New Roman"/>
                <w:szCs w:val="21"/>
                <w:highlight w:val="none"/>
              </w:rPr>
            </w:pPr>
            <w:r>
              <w:rPr>
                <w:rFonts w:ascii="Times New Roman"/>
                <w:szCs w:val="21"/>
                <w:highlight w:val="none"/>
              </w:rPr>
              <w:t>——</w:t>
            </w:r>
          </w:p>
        </w:tc>
        <w:tc>
          <w:tcPr>
            <w:tcW w:w="7804" w:type="dxa"/>
            <w:vAlign w:val="top"/>
          </w:tcPr>
          <w:p w14:paraId="41108728">
            <w:pPr>
              <w:pStyle w:val="27"/>
              <w:spacing w:line="276" w:lineRule="auto"/>
              <w:ind w:firstLine="0" w:firstLineChars="0"/>
              <w:rPr>
                <w:szCs w:val="21"/>
                <w:highlight w:val="none"/>
              </w:rPr>
            </w:pPr>
            <w:r>
              <w:rPr>
                <w:rFonts w:ascii="Times New Roman"/>
                <w:iCs/>
                <w:szCs w:val="18"/>
                <w:highlight w:val="none"/>
              </w:rPr>
              <w:t>第</w:t>
            </w:r>
            <w:r>
              <w:rPr>
                <w:rFonts w:ascii="Times New Roman"/>
                <w:i/>
                <w:iCs/>
                <w:szCs w:val="21"/>
                <w:highlight w:val="none"/>
              </w:rPr>
              <w:t>j</w:t>
            </w:r>
            <w:r>
              <w:rPr>
                <w:rFonts w:ascii="Times New Roman"/>
                <w:iCs/>
                <w:szCs w:val="18"/>
                <w:highlight w:val="none"/>
              </w:rPr>
              <w:t>种</w:t>
            </w:r>
            <w:r>
              <w:rPr>
                <w:rFonts w:hint="eastAsia" w:ascii="Times New Roman"/>
                <w:szCs w:val="18"/>
                <w:highlight w:val="none"/>
                <w:lang w:val="en-US" w:eastAsia="zh-CN"/>
              </w:rPr>
              <w:t>燃料</w:t>
            </w:r>
            <w:r>
              <w:rPr>
                <w:rFonts w:ascii="Times New Roman"/>
                <w:szCs w:val="18"/>
                <w:highlight w:val="none"/>
              </w:rPr>
              <w:t>第</w:t>
            </w:r>
            <w:r>
              <w:rPr>
                <w:rFonts w:ascii="Times New Roman"/>
                <w:i/>
                <w:iCs/>
                <w:szCs w:val="21"/>
                <w:highlight w:val="none"/>
              </w:rPr>
              <w:t>k</w:t>
            </w:r>
            <w:r>
              <w:rPr>
                <w:rFonts w:ascii="Times New Roman"/>
                <w:szCs w:val="18"/>
                <w:highlight w:val="none"/>
              </w:rPr>
              <w:t>种运输方式的运输距离，单位为千米（km）；</w:t>
            </w:r>
          </w:p>
        </w:tc>
      </w:tr>
      <w:tr w14:paraId="69846548">
        <w:tblPrEx>
          <w:tblCellMar>
            <w:top w:w="0" w:type="dxa"/>
            <w:left w:w="108" w:type="dxa"/>
            <w:bottom w:w="0" w:type="dxa"/>
            <w:right w:w="108" w:type="dxa"/>
          </w:tblCellMar>
        </w:tblPrEx>
        <w:trPr>
          <w:trHeight w:val="480" w:hRule="atLeast"/>
          <w:jc w:val="right"/>
        </w:trPr>
        <w:tc>
          <w:tcPr>
            <w:tcW w:w="1009" w:type="dxa"/>
            <w:vAlign w:val="center"/>
          </w:tcPr>
          <w:p w14:paraId="1DB7AFB9">
            <w:pPr>
              <w:tabs>
                <w:tab w:val="center" w:pos="4338"/>
                <w:tab w:val="right" w:pos="8675"/>
              </w:tabs>
              <w:adjustRightInd w:val="0"/>
              <w:snapToGrid w:val="0"/>
              <w:jc w:val="center"/>
              <w:rPr>
                <w:rFonts w:ascii="Cambria Math" w:hAnsi="Cambria Math"/>
                <w:szCs w:val="21"/>
                <w:highlight w:val="none"/>
                <w:oMath/>
              </w:rPr>
            </w:pPr>
            <m:oMathPara>
              <m:oMathParaPr>
                <m:jc m:val="left"/>
              </m:oMathParaPr>
              <m:oMath>
                <m:sSub>
                  <m:sSubPr>
                    <m:ctrlPr>
                      <w:rPr>
                        <w:rFonts w:ascii="Cambria Math" w:hAnsi="Cambria Math"/>
                        <w:i/>
                        <w:szCs w:val="21"/>
                        <w:highlight w:val="none"/>
                      </w:rPr>
                    </m:ctrlPr>
                  </m:sSubPr>
                  <m:e>
                    <m:r>
                      <m:rPr/>
                      <w:rPr>
                        <w:rFonts w:ascii="Cambria Math" w:hAnsi="Cambria Math"/>
                        <w:szCs w:val="21"/>
                        <w:highlight w:val="none"/>
                      </w:rPr>
                      <m:t>FC</m:t>
                    </m:r>
                    <m:ctrlPr>
                      <w:rPr>
                        <w:rFonts w:ascii="Cambria Math" w:hAnsi="Cambria Math"/>
                        <w:i/>
                        <w:szCs w:val="21"/>
                        <w:highlight w:val="none"/>
                      </w:rPr>
                    </m:ctrlPr>
                  </m:e>
                  <m:sub>
                    <m:r>
                      <m:rPr/>
                      <w:rPr>
                        <w:rFonts w:hint="default" w:ascii="Cambria Math" w:hAnsi="Cambria Math"/>
                        <w:szCs w:val="21"/>
                        <w:highlight w:val="none"/>
                        <w:lang w:val="en-US" w:eastAsia="zh-CN"/>
                      </w:rPr>
                      <m:t>B,</m:t>
                    </m:r>
                    <m:r>
                      <m:rPr/>
                      <w:rPr>
                        <w:rFonts w:ascii="Cambria Math" w:hAnsi="Cambria Math"/>
                        <w:szCs w:val="21"/>
                        <w:highlight w:val="none"/>
                      </w:rPr>
                      <m:t>j,k</m:t>
                    </m:r>
                    <m:ctrlPr>
                      <w:rPr>
                        <w:rFonts w:ascii="Cambria Math" w:hAnsi="Cambria Math"/>
                        <w:i/>
                        <w:szCs w:val="21"/>
                        <w:highlight w:val="none"/>
                      </w:rPr>
                    </m:ctrlPr>
                  </m:sub>
                </m:sSub>
              </m:oMath>
            </m:oMathPara>
          </w:p>
        </w:tc>
        <w:tc>
          <w:tcPr>
            <w:tcW w:w="717" w:type="dxa"/>
            <w:vAlign w:val="center"/>
          </w:tcPr>
          <w:p w14:paraId="2EE2C521">
            <w:pPr>
              <w:pStyle w:val="27"/>
              <w:spacing w:line="360" w:lineRule="auto"/>
              <w:ind w:firstLine="0" w:firstLineChars="0"/>
              <w:jc w:val="left"/>
              <w:rPr>
                <w:rFonts w:ascii="Times New Roman"/>
                <w:szCs w:val="21"/>
                <w:highlight w:val="none"/>
              </w:rPr>
            </w:pPr>
            <w:r>
              <w:rPr>
                <w:rFonts w:hint="eastAsia" w:ascii="Times New Roman"/>
                <w:szCs w:val="21"/>
                <w:highlight w:val="none"/>
              </w:rPr>
              <w:t>——</w:t>
            </w:r>
          </w:p>
        </w:tc>
        <w:tc>
          <w:tcPr>
            <w:tcW w:w="7804" w:type="dxa"/>
            <w:vAlign w:val="center"/>
          </w:tcPr>
          <w:p w14:paraId="2CAAA202">
            <w:pPr>
              <w:tabs>
                <w:tab w:val="center" w:pos="4338"/>
                <w:tab w:val="right" w:pos="8675"/>
              </w:tabs>
              <w:adjustRightInd w:val="0"/>
              <w:snapToGrid w:val="0"/>
              <w:jc w:val="left"/>
              <w:rPr>
                <w:kern w:val="0"/>
                <w:szCs w:val="21"/>
                <w:highlight w:val="none"/>
              </w:rPr>
            </w:pPr>
            <w:r>
              <w:rPr>
                <w:szCs w:val="21"/>
                <w:highlight w:val="none"/>
              </w:rPr>
              <w:t>每功能单位（</w:t>
            </w:r>
            <w:r>
              <w:rPr>
                <w:rFonts w:hint="eastAsia"/>
                <w:szCs w:val="21"/>
                <w:highlight w:val="none"/>
              </w:rPr>
              <w:t>声明单位</w:t>
            </w:r>
            <w:r>
              <w:rPr>
                <w:szCs w:val="21"/>
                <w:highlight w:val="none"/>
              </w:rPr>
              <w:t>）</w:t>
            </w:r>
            <w:r>
              <w:rPr>
                <w:kern w:val="0"/>
                <w:szCs w:val="21"/>
                <w:highlight w:val="none"/>
              </w:rPr>
              <w:t>第</w:t>
            </w:r>
            <w:r>
              <w:rPr>
                <w:i/>
                <w:iCs/>
                <w:kern w:val="0"/>
                <w:szCs w:val="21"/>
                <w:highlight w:val="none"/>
              </w:rPr>
              <w:t>j</w:t>
            </w:r>
            <w:r>
              <w:rPr>
                <w:kern w:val="0"/>
                <w:szCs w:val="21"/>
                <w:highlight w:val="none"/>
              </w:rPr>
              <w:t>种化石燃料的第</w:t>
            </w:r>
            <w:r>
              <w:rPr>
                <w:i/>
                <w:iCs/>
                <w:kern w:val="0"/>
                <w:szCs w:val="21"/>
                <w:highlight w:val="none"/>
              </w:rPr>
              <w:t>k</w:t>
            </w:r>
            <w:r>
              <w:rPr>
                <w:kern w:val="0"/>
                <w:szCs w:val="21"/>
                <w:highlight w:val="none"/>
              </w:rPr>
              <w:t>种燃烧方式对应的消耗量，</w:t>
            </w:r>
            <w:r>
              <w:rPr>
                <w:rFonts w:ascii="Times New Roman"/>
                <w:szCs w:val="18"/>
                <w:highlight w:val="none"/>
              </w:rPr>
              <w:t>单位视</w:t>
            </w:r>
            <w:r>
              <w:rPr>
                <w:rFonts w:hint="eastAsia" w:ascii="Times New Roman"/>
                <w:szCs w:val="18"/>
                <w:highlight w:val="none"/>
                <w:lang w:val="en-US" w:eastAsia="zh-CN"/>
              </w:rPr>
              <w:t>燃料</w:t>
            </w:r>
            <w:r>
              <w:rPr>
                <w:rFonts w:ascii="Times New Roman"/>
                <w:szCs w:val="18"/>
                <w:highlight w:val="none"/>
              </w:rPr>
              <w:t>种类而定；</w:t>
            </w:r>
          </w:p>
        </w:tc>
      </w:tr>
      <w:tr w14:paraId="14435C90">
        <w:tblPrEx>
          <w:tblCellMar>
            <w:top w:w="0" w:type="dxa"/>
            <w:left w:w="108" w:type="dxa"/>
            <w:bottom w:w="0" w:type="dxa"/>
            <w:right w:w="108" w:type="dxa"/>
          </w:tblCellMar>
        </w:tblPrEx>
        <w:trPr>
          <w:trHeight w:val="90" w:hRule="atLeast"/>
          <w:jc w:val="right"/>
        </w:trPr>
        <w:tc>
          <w:tcPr>
            <w:tcW w:w="1009" w:type="dxa"/>
            <w:vAlign w:val="center"/>
          </w:tcPr>
          <w:p w14:paraId="03C0FF5D">
            <w:pPr>
              <w:tabs>
                <w:tab w:val="center" w:pos="4338"/>
                <w:tab w:val="right" w:pos="8675"/>
              </w:tabs>
              <w:adjustRightInd w:val="0"/>
              <w:snapToGrid w:val="0"/>
              <w:jc w:val="center"/>
              <w:rPr>
                <w:rFonts w:ascii="Cambria Math" w:hAnsi="Cambria Math"/>
                <w:szCs w:val="21"/>
                <w:highlight w:val="none"/>
                <w:oMath/>
              </w:rPr>
            </w:pPr>
            <m:oMathPara>
              <m:oMathParaPr>
                <m:jc m:val="left"/>
              </m:oMathParaPr>
              <m:oMath>
                <m:sSub>
                  <m:sSubPr>
                    <m:ctrlPr>
                      <w:rPr>
                        <w:rFonts w:ascii="Cambria Math" w:hAnsi="Cambria Math"/>
                        <w:i/>
                        <w:szCs w:val="21"/>
                        <w:highlight w:val="none"/>
                      </w:rPr>
                    </m:ctrlPr>
                  </m:sSubPr>
                  <m:e>
                    <m:r>
                      <m:rPr/>
                      <w:rPr>
                        <w:rFonts w:ascii="Cambria Math" w:hAnsi="Cambria Math"/>
                        <w:szCs w:val="21"/>
                        <w:highlight w:val="none"/>
                      </w:rPr>
                      <m:t>NCV</m:t>
                    </m:r>
                    <m:ctrlPr>
                      <w:rPr>
                        <w:rFonts w:ascii="Cambria Math" w:hAnsi="Cambria Math"/>
                        <w:i/>
                        <w:szCs w:val="21"/>
                        <w:highlight w:val="none"/>
                      </w:rPr>
                    </m:ctrlPr>
                  </m:e>
                  <m:sub>
                    <m:r>
                      <m:rPr/>
                      <w:rPr>
                        <w:rFonts w:hint="default" w:ascii="Cambria Math" w:hAnsi="Cambria Math"/>
                        <w:szCs w:val="21"/>
                        <w:highlight w:val="none"/>
                        <w:lang w:val="en-US" w:eastAsia="zh-CN"/>
                      </w:rPr>
                      <m:t>B,</m:t>
                    </m:r>
                    <m:r>
                      <m:rPr/>
                      <w:rPr>
                        <w:rFonts w:ascii="Cambria Math" w:hAnsi="Cambria Math"/>
                        <w:szCs w:val="21"/>
                        <w:highlight w:val="none"/>
                      </w:rPr>
                      <m:t>j</m:t>
                    </m:r>
                    <m:ctrlPr>
                      <w:rPr>
                        <w:rFonts w:ascii="Cambria Math" w:hAnsi="Cambria Math"/>
                        <w:i/>
                        <w:szCs w:val="21"/>
                        <w:highlight w:val="none"/>
                      </w:rPr>
                    </m:ctrlPr>
                  </m:sub>
                </m:sSub>
              </m:oMath>
            </m:oMathPara>
          </w:p>
        </w:tc>
        <w:tc>
          <w:tcPr>
            <w:tcW w:w="717" w:type="dxa"/>
            <w:vAlign w:val="center"/>
          </w:tcPr>
          <w:p w14:paraId="70E4B4A0">
            <w:pPr>
              <w:spacing w:line="360" w:lineRule="auto"/>
              <w:jc w:val="left"/>
              <w:rPr>
                <w:szCs w:val="21"/>
                <w:highlight w:val="none"/>
              </w:rPr>
            </w:pPr>
            <w:r>
              <w:rPr>
                <w:rFonts w:hint="eastAsia"/>
                <w:szCs w:val="21"/>
                <w:highlight w:val="none"/>
              </w:rPr>
              <w:t>——</w:t>
            </w:r>
          </w:p>
        </w:tc>
        <w:tc>
          <w:tcPr>
            <w:tcW w:w="7804" w:type="dxa"/>
            <w:vAlign w:val="center"/>
          </w:tcPr>
          <w:p w14:paraId="64CFDB3D">
            <w:pPr>
              <w:tabs>
                <w:tab w:val="center" w:pos="4338"/>
                <w:tab w:val="right" w:pos="8675"/>
              </w:tabs>
              <w:adjustRightInd w:val="0"/>
              <w:snapToGrid w:val="0"/>
              <w:jc w:val="left"/>
              <w:rPr>
                <w:highlight w:val="none"/>
              </w:rPr>
            </w:pPr>
            <w:r>
              <w:rPr>
                <w:kern w:val="0"/>
                <w:szCs w:val="21"/>
                <w:highlight w:val="none"/>
              </w:rPr>
              <w:t>第</w:t>
            </w:r>
            <w:r>
              <w:rPr>
                <w:i/>
                <w:iCs/>
                <w:kern w:val="0"/>
                <w:szCs w:val="21"/>
                <w:highlight w:val="none"/>
              </w:rPr>
              <w:t>j</w:t>
            </w:r>
            <w:r>
              <w:rPr>
                <w:kern w:val="0"/>
                <w:szCs w:val="21"/>
                <w:highlight w:val="none"/>
              </w:rPr>
              <w:t>种化石燃料的低位发热量，</w:t>
            </w:r>
            <w:r>
              <w:rPr>
                <w:rFonts w:ascii="Times New Roman"/>
                <w:szCs w:val="18"/>
                <w:highlight w:val="none"/>
              </w:rPr>
              <w:t>单位视</w:t>
            </w:r>
            <w:r>
              <w:rPr>
                <w:rFonts w:hint="eastAsia" w:ascii="Times New Roman"/>
                <w:szCs w:val="18"/>
                <w:highlight w:val="none"/>
                <w:lang w:val="en-US" w:eastAsia="zh-CN"/>
              </w:rPr>
              <w:t>燃料</w:t>
            </w:r>
            <w:r>
              <w:rPr>
                <w:rFonts w:ascii="Times New Roman"/>
                <w:szCs w:val="18"/>
                <w:highlight w:val="none"/>
              </w:rPr>
              <w:t>种类而定</w:t>
            </w:r>
            <w:r>
              <w:rPr>
                <w:kern w:val="0"/>
                <w:szCs w:val="21"/>
                <w:highlight w:val="none"/>
              </w:rPr>
              <w:t>；</w:t>
            </w:r>
          </w:p>
        </w:tc>
      </w:tr>
      <w:tr w14:paraId="3B61B08E">
        <w:tblPrEx>
          <w:tblCellMar>
            <w:top w:w="0" w:type="dxa"/>
            <w:left w:w="108" w:type="dxa"/>
            <w:bottom w:w="0" w:type="dxa"/>
            <w:right w:w="108" w:type="dxa"/>
          </w:tblCellMar>
        </w:tblPrEx>
        <w:trPr>
          <w:trHeight w:val="397" w:hRule="atLeast"/>
          <w:jc w:val="right"/>
        </w:trPr>
        <w:tc>
          <w:tcPr>
            <w:tcW w:w="1009" w:type="dxa"/>
            <w:vAlign w:val="center"/>
          </w:tcPr>
          <w:p w14:paraId="10A04736">
            <w:pPr>
              <w:tabs>
                <w:tab w:val="center" w:pos="4338"/>
                <w:tab w:val="right" w:pos="8675"/>
              </w:tabs>
              <w:adjustRightInd w:val="0"/>
              <w:snapToGrid w:val="0"/>
              <w:jc w:val="right"/>
              <w:rPr>
                <w:rFonts w:ascii="Cambria Math" w:hAnsi="Cambria Math"/>
                <w:szCs w:val="21"/>
                <w:highlight w:val="none"/>
                <w:oMath/>
              </w:rPr>
            </w:pPr>
            <m:oMathPara>
              <m:oMathParaPr>
                <m:jc m:val="left"/>
              </m:oMathParaPr>
              <m:oMath>
                <m:sSub>
                  <m:sSubPr>
                    <m:ctrlPr>
                      <w:rPr>
                        <w:rFonts w:ascii="Cambria Math" w:hAnsi="Cambria Math"/>
                        <w:i/>
                        <w:szCs w:val="21"/>
                        <w:highlight w:val="none"/>
                      </w:rPr>
                    </m:ctrlPr>
                  </m:sSubPr>
                  <m:e>
                    <m:r>
                      <m:rPr/>
                      <w:rPr>
                        <w:rFonts w:ascii="Cambria Math" w:hAnsi="Cambria Math"/>
                        <w:szCs w:val="21"/>
                        <w:highlight w:val="none"/>
                      </w:rPr>
                      <m:t>EF</m:t>
                    </m:r>
                    <m:ctrlPr>
                      <w:rPr>
                        <w:rFonts w:ascii="Cambria Math" w:hAnsi="Cambria Math"/>
                        <w:i/>
                        <w:szCs w:val="21"/>
                        <w:highlight w:val="none"/>
                      </w:rPr>
                    </m:ctrlPr>
                  </m:e>
                  <m:sub>
                    <m:r>
                      <m:rPr/>
                      <w:rPr>
                        <w:rFonts w:hint="default" w:ascii="Cambria Math" w:hAnsi="Cambria Math"/>
                        <w:szCs w:val="21"/>
                        <w:highlight w:val="none"/>
                        <w:lang w:val="en-US" w:eastAsia="zh-CN"/>
                      </w:rPr>
                      <m:t>B,</m:t>
                    </m:r>
                    <m:r>
                      <m:rPr/>
                      <w:rPr>
                        <w:rFonts w:ascii="Cambria Math" w:hAnsi="Cambria Math"/>
                        <w:szCs w:val="21"/>
                        <w:highlight w:val="none"/>
                      </w:rPr>
                      <m:t>i,j,k</m:t>
                    </m:r>
                    <m:ctrlPr>
                      <w:rPr>
                        <w:rFonts w:ascii="Cambria Math" w:hAnsi="Cambria Math"/>
                        <w:i/>
                        <w:szCs w:val="21"/>
                        <w:highlight w:val="none"/>
                      </w:rPr>
                    </m:ctrlPr>
                  </m:sub>
                </m:sSub>
              </m:oMath>
            </m:oMathPara>
          </w:p>
        </w:tc>
        <w:tc>
          <w:tcPr>
            <w:tcW w:w="717" w:type="dxa"/>
            <w:vAlign w:val="center"/>
          </w:tcPr>
          <w:p w14:paraId="7B6C0F4F">
            <w:pPr>
              <w:spacing w:line="360" w:lineRule="auto"/>
              <w:jc w:val="left"/>
              <w:rPr>
                <w:szCs w:val="21"/>
                <w:highlight w:val="none"/>
              </w:rPr>
            </w:pPr>
            <w:r>
              <w:rPr>
                <w:rFonts w:hint="eastAsia"/>
                <w:szCs w:val="21"/>
                <w:highlight w:val="none"/>
              </w:rPr>
              <w:t>——</w:t>
            </w:r>
          </w:p>
        </w:tc>
        <w:tc>
          <w:tcPr>
            <w:tcW w:w="7804" w:type="dxa"/>
            <w:vAlign w:val="center"/>
          </w:tcPr>
          <w:p w14:paraId="43D89209">
            <w:pPr>
              <w:tabs>
                <w:tab w:val="center" w:pos="4338"/>
                <w:tab w:val="right" w:pos="8675"/>
              </w:tabs>
              <w:adjustRightInd w:val="0"/>
              <w:snapToGrid w:val="0"/>
              <w:jc w:val="left"/>
              <w:rPr>
                <w:szCs w:val="21"/>
                <w:highlight w:val="none"/>
              </w:rPr>
            </w:pPr>
            <w:r>
              <w:rPr>
                <w:kern w:val="0"/>
                <w:szCs w:val="21"/>
                <w:highlight w:val="none"/>
              </w:rPr>
              <w:t>第</w:t>
            </w:r>
            <w:r>
              <w:rPr>
                <w:i/>
                <w:iCs/>
                <w:kern w:val="0"/>
                <w:szCs w:val="21"/>
                <w:highlight w:val="none"/>
              </w:rPr>
              <w:t>j</w:t>
            </w:r>
            <w:r>
              <w:rPr>
                <w:kern w:val="0"/>
                <w:szCs w:val="21"/>
                <w:highlight w:val="none"/>
              </w:rPr>
              <w:t>种化石燃料的第</w:t>
            </w:r>
            <w:r>
              <w:rPr>
                <w:i/>
                <w:iCs/>
                <w:kern w:val="0"/>
                <w:szCs w:val="21"/>
                <w:highlight w:val="none"/>
              </w:rPr>
              <w:t>k</w:t>
            </w:r>
            <w:r>
              <w:rPr>
                <w:kern w:val="0"/>
                <w:szCs w:val="21"/>
                <w:highlight w:val="none"/>
              </w:rPr>
              <w:t>种燃烧方式对应的第</w:t>
            </w:r>
            <w:r>
              <w:rPr>
                <w:i/>
                <w:iCs/>
                <w:kern w:val="0"/>
                <w:szCs w:val="21"/>
                <w:highlight w:val="none"/>
              </w:rPr>
              <w:t>i</w:t>
            </w:r>
            <w:r>
              <w:rPr>
                <w:kern w:val="0"/>
                <w:szCs w:val="21"/>
                <w:highlight w:val="none"/>
              </w:rPr>
              <w:t>种温室气体排放因子，单位为千克每吉焦（kg/GJ）。</w:t>
            </w:r>
          </w:p>
        </w:tc>
      </w:tr>
      <w:tr w14:paraId="2FFDC1B7">
        <w:tblPrEx>
          <w:tblCellMar>
            <w:top w:w="0" w:type="dxa"/>
            <w:left w:w="108" w:type="dxa"/>
            <w:bottom w:w="0" w:type="dxa"/>
            <w:right w:w="108" w:type="dxa"/>
          </w:tblCellMar>
        </w:tblPrEx>
        <w:trPr>
          <w:trHeight w:val="397" w:hRule="atLeast"/>
          <w:jc w:val="right"/>
        </w:trPr>
        <w:tc>
          <w:tcPr>
            <w:tcW w:w="9530" w:type="dxa"/>
            <w:gridSpan w:val="3"/>
            <w:vAlign w:val="center"/>
          </w:tcPr>
          <w:p w14:paraId="5D1ACA5B">
            <w:pPr>
              <w:pStyle w:val="2"/>
              <w:jc w:val="left"/>
              <w:rPr>
                <w:rFonts w:ascii="Times New Roman" w:hAnsi="Times New Roman"/>
                <w:kern w:val="0"/>
                <w:szCs w:val="20"/>
                <w:highlight w:val="none"/>
              </w:rPr>
            </w:pPr>
            <w:r>
              <w:rPr>
                <w:rFonts w:hint="eastAsia" w:ascii="黑体" w:hAnsi="黑体" w:eastAsia="黑体" w:cs="黑体"/>
                <w:kern w:val="0"/>
                <w:sz w:val="18"/>
                <w:szCs w:val="18"/>
                <w:highlight w:val="none"/>
              </w:rPr>
              <w:t>注1：</w:t>
            </w:r>
            <w:r>
              <w:rPr>
                <w:rFonts w:ascii="Times New Roman" w:hAnsi="Times New Roman"/>
                <w:kern w:val="0"/>
                <w:sz w:val="18"/>
                <w:szCs w:val="18"/>
                <w:highlight w:val="none"/>
              </w:rPr>
              <w:t>燃烧方式包括固定源燃烧和移动源燃烧</w:t>
            </w:r>
            <w:r>
              <w:rPr>
                <w:rFonts w:hint="eastAsia" w:ascii="Times New Roman" w:hAnsi="Times New Roman"/>
                <w:kern w:val="0"/>
                <w:sz w:val="18"/>
                <w:szCs w:val="18"/>
                <w:highlight w:val="none"/>
              </w:rPr>
              <w:t>。</w:t>
            </w:r>
          </w:p>
          <w:p w14:paraId="72D3B0A7">
            <w:pPr>
              <w:pStyle w:val="2"/>
              <w:jc w:val="left"/>
              <w:rPr>
                <w:rFonts w:ascii="Times New Roman" w:hAnsi="Times New Roman"/>
                <w:kern w:val="0"/>
                <w:szCs w:val="20"/>
                <w:highlight w:val="none"/>
              </w:rPr>
            </w:pPr>
            <w:r>
              <w:rPr>
                <w:rFonts w:hint="eastAsia" w:ascii="黑体" w:hAnsi="黑体" w:eastAsia="黑体" w:cs="黑体"/>
                <w:kern w:val="0"/>
                <w:sz w:val="18"/>
                <w:szCs w:val="18"/>
                <w:highlight w:val="none"/>
              </w:rPr>
              <w:t>注2</w:t>
            </w:r>
            <w:r>
              <w:rPr>
                <w:rFonts w:hint="eastAsia" w:ascii="黑体" w:hAnsi="黑体" w:eastAsia="黑体" w:cs="黑体"/>
                <w:kern w:val="0"/>
                <w:szCs w:val="20"/>
                <w:highlight w:val="none"/>
              </w:rPr>
              <w:t>：</w:t>
            </w:r>
            <w:r>
              <w:rPr>
                <w:rFonts w:hint="eastAsia" w:ascii="Times New Roman" w:hAnsi="Times New Roman"/>
                <w:kern w:val="0"/>
                <w:sz w:val="18"/>
                <w:szCs w:val="18"/>
                <w:highlight w:val="none"/>
              </w:rPr>
              <w:t>生物质燃料燃烧的</w:t>
            </w:r>
            <w:r>
              <w:rPr>
                <w:rFonts w:hint="eastAsia" w:ascii="Times New Roman" w:hAnsi="Times New Roman"/>
                <w:kern w:val="0"/>
                <w:sz w:val="18"/>
                <w:szCs w:val="18"/>
                <w:highlight w:val="none"/>
                <w:lang w:val="en-US" w:eastAsia="zh-CN"/>
              </w:rPr>
              <w:t>温室气体</w:t>
            </w:r>
            <w:r>
              <w:rPr>
                <w:rFonts w:hint="eastAsia" w:ascii="Times New Roman" w:hAnsi="Times New Roman"/>
                <w:kern w:val="0"/>
                <w:sz w:val="18"/>
                <w:szCs w:val="18"/>
                <w:highlight w:val="none"/>
              </w:rPr>
              <w:t>排放</w:t>
            </w:r>
            <w:r>
              <w:rPr>
                <w:rFonts w:hint="eastAsia" w:ascii="Times New Roman" w:hAnsi="Times New Roman"/>
                <w:kern w:val="0"/>
                <w:sz w:val="18"/>
                <w:szCs w:val="18"/>
                <w:highlight w:val="none"/>
                <w:lang w:val="en-US" w:eastAsia="zh-CN"/>
              </w:rPr>
              <w:t>不计入</w:t>
            </w:r>
            <w:r>
              <w:rPr>
                <w:rFonts w:hint="eastAsia" w:ascii="Times New Roman" w:hAnsi="Times New Roman"/>
                <w:kern w:val="0"/>
                <w:sz w:val="18"/>
                <w:szCs w:val="18"/>
                <w:highlight w:val="none"/>
              </w:rPr>
              <w:t>。</w:t>
            </w:r>
          </w:p>
        </w:tc>
      </w:tr>
    </w:tbl>
    <w:p w14:paraId="71502D5F">
      <w:pPr>
        <w:pStyle w:val="47"/>
        <w:numPr>
          <w:ilvl w:val="2"/>
          <w:numId w:val="11"/>
        </w:numPr>
        <w:adjustRightInd w:val="0"/>
        <w:snapToGrid w:val="0"/>
        <w:spacing w:beforeLines="0" w:afterLines="0" w:line="360" w:lineRule="exact"/>
        <w:ind w:left="0" w:firstLine="0"/>
        <w:jc w:val="both"/>
        <w:outlineLvl w:val="9"/>
        <w:rPr>
          <w:rFonts w:ascii="Times New Roman" w:eastAsia="宋体"/>
        </w:rPr>
      </w:pPr>
      <w:r>
        <w:rPr>
          <w:rFonts w:ascii="Times New Roman" w:eastAsia="宋体"/>
        </w:rPr>
        <w:t>产品分销阶段</w:t>
      </w:r>
      <w:r>
        <w:rPr>
          <w:rFonts w:hint="default" w:ascii="Times New Roman" w:eastAsia="宋体"/>
          <w:lang w:eastAsia="zh-CN"/>
        </w:rPr>
        <w:t>（</w:t>
      </w:r>
      <w:r>
        <w:rPr>
          <w:rFonts w:hint="default" w:ascii="Times New Roman" w:eastAsia="宋体"/>
          <w:lang w:val="en-US" w:eastAsia="zh-CN"/>
        </w:rPr>
        <w:t>C</w:t>
      </w:r>
      <w:r>
        <w:rPr>
          <w:rFonts w:hint="default" w:ascii="Times New Roman" w:eastAsia="宋体"/>
          <w:lang w:eastAsia="zh-CN"/>
        </w:rPr>
        <w:t>）</w:t>
      </w:r>
    </w:p>
    <w:p w14:paraId="43256363">
      <w:pPr>
        <w:pStyle w:val="47"/>
        <w:numPr>
          <w:ilvl w:val="255"/>
          <w:numId w:val="0"/>
        </w:numPr>
        <w:spacing w:beforeLines="0" w:afterLines="0" w:line="276" w:lineRule="auto"/>
        <w:ind w:firstLine="420" w:firstLineChars="200"/>
        <w:outlineLvl w:val="9"/>
        <w:rPr>
          <w:rFonts w:ascii="Times New Roman" w:eastAsia="宋体"/>
          <w:highlight w:val="none"/>
        </w:rPr>
      </w:pPr>
      <w:r>
        <w:rPr>
          <w:rFonts w:hint="eastAsia" w:ascii="Times New Roman" w:eastAsia="宋体"/>
          <w:highlight w:val="none"/>
        </w:rPr>
        <w:t>每功能单位（声明单位）在分销阶段的第i类温室气体排放量</w:t>
      </w:r>
      <w:r>
        <w:rPr>
          <w:rFonts w:ascii="Times New Roman" w:eastAsia="宋体"/>
          <w:highlight w:val="none"/>
        </w:rPr>
        <w:t>按</w:t>
      </w:r>
      <w:r>
        <w:rPr>
          <w:rFonts w:hint="eastAsia" w:ascii="Times New Roman" w:eastAsia="宋体"/>
          <w:highlight w:val="none"/>
          <w:lang w:val="en-US" w:eastAsia="zh-CN"/>
        </w:rPr>
        <w:t>公</w:t>
      </w:r>
      <w:r>
        <w:rPr>
          <w:rFonts w:ascii="Times New Roman" w:eastAsia="宋体"/>
          <w:highlight w:val="none"/>
        </w:rPr>
        <w:t>式（</w:t>
      </w:r>
      <w:r>
        <w:rPr>
          <w:rFonts w:hint="eastAsia" w:ascii="Times New Roman" w:eastAsia="宋体"/>
          <w:highlight w:val="none"/>
          <w:lang w:val="en-US" w:eastAsia="zh-CN"/>
        </w:rPr>
        <w:t>5</w:t>
      </w:r>
      <w:r>
        <w:rPr>
          <w:rFonts w:ascii="Times New Roman" w:eastAsia="宋体"/>
          <w:highlight w:val="none"/>
        </w:rPr>
        <w:t>）计算</w:t>
      </w:r>
      <w:r>
        <w:rPr>
          <w:rFonts w:hint="eastAsia" w:ascii="Times New Roman" w:eastAsia="宋体"/>
          <w:highlight w:val="none"/>
          <w:lang w:eastAsia="zh-CN"/>
        </w:rPr>
        <w:t>：</w:t>
      </w:r>
    </w:p>
    <w:p w14:paraId="6E2F13C4">
      <w:pPr>
        <w:pStyle w:val="27"/>
        <w:spacing w:line="276" w:lineRule="auto"/>
        <w:ind w:firstLine="0" w:firstLineChars="0"/>
        <w:jc w:val="right"/>
        <w:rPr>
          <w:rFonts w:ascii="Times New Roman"/>
          <w:highlight w:val="none"/>
        </w:rPr>
      </w:pPr>
      <m:oMath>
        <m:sSub>
          <m:sSubPr>
            <m:ctrlPr>
              <w:rPr>
                <w:rFonts w:ascii="Cambria Math" w:hAnsi="Cambria Math"/>
                <w:i/>
                <w:highlight w:val="none"/>
              </w:rPr>
            </m:ctrlPr>
          </m:sSubPr>
          <m:e>
            <m:r>
              <m:rPr/>
              <w:rPr>
                <w:rFonts w:ascii="Cambria Math" w:hAnsi="Cambria Math"/>
                <w:highlight w:val="none"/>
              </w:rPr>
              <m:t>CFP</m:t>
            </m:r>
            <m:ctrlPr>
              <w:rPr>
                <w:rFonts w:ascii="Cambria Math" w:hAnsi="Cambria Math"/>
                <w:i/>
                <w:highlight w:val="none"/>
              </w:rPr>
            </m:ctrlPr>
          </m:e>
          <m:sub>
            <m:r>
              <m:rPr/>
              <w:rPr>
                <w:rFonts w:hint="default" w:ascii="Cambria Math" w:hAnsi="Cambria Math"/>
                <w:highlight w:val="none"/>
                <w:lang w:val="en-US" w:eastAsia="zh-CN"/>
              </w:rPr>
              <m:t>C</m:t>
            </m:r>
            <m:r>
              <m:rPr/>
              <w:rPr>
                <w:rFonts w:ascii="Cambria Math" w:hAnsi="Cambria Math"/>
                <w:highlight w:val="none"/>
              </w:rPr>
              <m:t>,i</m:t>
            </m:r>
            <m:ctrlPr>
              <w:rPr>
                <w:rFonts w:ascii="Cambria Math" w:hAnsi="Cambria Math"/>
                <w:i/>
                <w:highlight w:val="none"/>
              </w:rPr>
            </m:ctrlPr>
          </m:sub>
        </m:sSub>
        <m:r>
          <m:rPr/>
          <w:rPr>
            <w:rFonts w:ascii="Cambria Math" w:hAnsi="Cambria Math"/>
            <w:highlight w:val="none"/>
          </w:rPr>
          <m:t>=</m:t>
        </m:r>
        <m:nary>
          <m:naryPr>
            <m:chr m:val="∑"/>
            <m:subHide m:val="1"/>
            <m:supHide m:val="1"/>
            <m:ctrlPr>
              <w:rPr>
                <w:rFonts w:ascii="Cambria Math" w:hAnsi="Cambria Math"/>
                <w:i/>
                <w:highlight w:val="none"/>
              </w:rPr>
            </m:ctrlPr>
          </m:naryPr>
          <m:sub>
            <m:ctrlPr>
              <w:rPr>
                <w:rFonts w:ascii="Cambria Math" w:hAnsi="Cambria Math"/>
                <w:i/>
                <w:highlight w:val="none"/>
              </w:rPr>
            </m:ctrlPr>
          </m:sub>
          <m:sup>
            <m:ctrlPr>
              <w:rPr>
                <w:rFonts w:ascii="Cambria Math" w:hAnsi="Cambria Math"/>
                <w:i/>
                <w:highlight w:val="none"/>
              </w:rPr>
            </m:ctrlPr>
          </m:sup>
          <m:e>
            <m:d>
              <m:dPr>
                <m:ctrlPr>
                  <w:rPr>
                    <w:rFonts w:ascii="Cambria Math" w:hAnsi="Cambria Math"/>
                    <w:i/>
                    <w:highlight w:val="none"/>
                  </w:rPr>
                </m:ctrlPr>
              </m:dPr>
              <m:e>
                <m:sSub>
                  <m:sSubPr>
                    <m:ctrlPr>
                      <w:rPr>
                        <w:rFonts w:ascii="Cambria Math" w:hAnsi="Cambria Math"/>
                        <w:i/>
                        <w:highlight w:val="none"/>
                      </w:rPr>
                    </m:ctrlPr>
                  </m:sSubPr>
                  <m:e>
                    <m:r>
                      <m:rPr/>
                      <w:rPr>
                        <w:rFonts w:ascii="Cambria Math" w:hAnsi="Cambria Math"/>
                        <w:highlight w:val="none"/>
                      </w:rPr>
                      <m:t>M</m:t>
                    </m:r>
                    <m:ctrlPr>
                      <w:rPr>
                        <w:rFonts w:ascii="Cambria Math" w:hAnsi="Cambria Math"/>
                        <w:i/>
                        <w:highlight w:val="none"/>
                      </w:rPr>
                    </m:ctrlPr>
                  </m:e>
                  <m:sub>
                    <m:r>
                      <m:rPr>
                        <m:nor/>
                      </m:rPr>
                      <w:rPr>
                        <w:rFonts w:hint="default" w:ascii="Cambria Math" w:hAnsi="Cambria Math"/>
                        <w:i/>
                        <w:highlight w:val="none"/>
                        <w:lang w:val="en-US" w:eastAsia="zh-CN"/>
                      </w:rPr>
                      <m:t>C1,k</m:t>
                    </m:r>
                    <m:ctrlPr>
                      <w:rPr>
                        <w:rFonts w:ascii="Cambria Math" w:hAnsi="Cambria Math"/>
                        <w:i/>
                        <w:highlight w:val="none"/>
                      </w:rPr>
                    </m:ctrlPr>
                  </m:sub>
                </m:sSub>
                <m:r>
                  <m:rPr/>
                  <w:rPr>
                    <w:rFonts w:ascii="Cambria Math" w:hAnsi="Cambria Math"/>
                    <w:highlight w:val="none"/>
                  </w:rPr>
                  <m:t>×</m:t>
                </m:r>
                <m:sSub>
                  <m:sSubPr>
                    <m:ctrlPr>
                      <w:rPr>
                        <w:rFonts w:ascii="Cambria Math" w:hAnsi="Cambria Math"/>
                        <w:i/>
                        <w:iCs w:val="0"/>
                        <w:highlight w:val="none"/>
                      </w:rPr>
                    </m:ctrlPr>
                  </m:sSubPr>
                  <m:e>
                    <m:r>
                      <m:rPr/>
                      <w:rPr>
                        <w:rFonts w:hint="default" w:ascii="Cambria Math" w:hAnsi="Cambria Math"/>
                        <w:highlight w:val="none"/>
                      </w:rPr>
                      <m:t>D</m:t>
                    </m:r>
                    <m:ctrlPr>
                      <w:rPr>
                        <w:rFonts w:ascii="Cambria Math" w:hAnsi="Cambria Math"/>
                        <w:i/>
                        <w:iCs w:val="0"/>
                        <w:highlight w:val="none"/>
                      </w:rPr>
                    </m:ctrlPr>
                  </m:e>
                  <m:sub>
                    <m:r>
                      <m:rPr/>
                      <w:rPr>
                        <w:rFonts w:hint="default" w:ascii="Cambria Math" w:hAnsi="Cambria Math"/>
                        <w:highlight w:val="none"/>
                        <w:lang w:val="en-US" w:eastAsia="zh-CN"/>
                      </w:rPr>
                      <m:t>C</m:t>
                    </m:r>
                    <m:r>
                      <m:rPr/>
                      <w:rPr>
                        <w:rFonts w:hint="default" w:ascii="Cambria Math" w:hAnsi="Cambria Math"/>
                        <w:highlight w:val="none"/>
                      </w:rPr>
                      <m:t>,k</m:t>
                    </m:r>
                    <m:ctrlPr>
                      <w:rPr>
                        <w:rFonts w:ascii="Cambria Math" w:hAnsi="Cambria Math"/>
                        <w:i/>
                        <w:iCs w:val="0"/>
                        <w:highlight w:val="none"/>
                      </w:rPr>
                    </m:ctrlPr>
                  </m:sub>
                </m:sSub>
                <m:r>
                  <m:rPr/>
                  <w:rPr>
                    <w:rFonts w:ascii="Cambria Math" w:hAnsi="Cambria Math"/>
                    <w:highlight w:val="none"/>
                  </w:rPr>
                  <m:t>×TE</m:t>
                </m:r>
                <m:sSub>
                  <m:sSubPr>
                    <m:ctrlPr>
                      <w:rPr>
                        <w:rFonts w:ascii="Cambria Math" w:hAnsi="Cambria Math"/>
                        <w:i/>
                        <w:highlight w:val="none"/>
                      </w:rPr>
                    </m:ctrlPr>
                  </m:sSubPr>
                  <m:e>
                    <m:r>
                      <m:rPr/>
                      <w:rPr>
                        <w:rFonts w:ascii="Cambria Math" w:hAnsi="Cambria Math"/>
                        <w:highlight w:val="none"/>
                      </w:rPr>
                      <m:t>F</m:t>
                    </m:r>
                    <m:ctrlPr>
                      <w:rPr>
                        <w:rFonts w:ascii="Cambria Math" w:hAnsi="Cambria Math"/>
                        <w:i/>
                        <w:highlight w:val="none"/>
                      </w:rPr>
                    </m:ctrlPr>
                  </m:e>
                  <m:sub>
                    <m:r>
                      <m:rPr>
                        <m:nor/>
                      </m:rPr>
                      <w:rPr>
                        <w:rFonts w:hint="default" w:ascii="Cambria Math" w:hAnsi="Cambria Math"/>
                        <w:i/>
                        <w:highlight w:val="none"/>
                        <w:lang w:val="en-US" w:eastAsia="zh-CN"/>
                      </w:rPr>
                      <m:t>i,</m:t>
                    </m:r>
                    <m:r>
                      <m:rPr>
                        <m:nor/>
                      </m:rPr>
                      <w:rPr>
                        <w:rFonts w:ascii="Cambria Math" w:hAnsi="Cambria Math"/>
                        <w:i/>
                        <w:highlight w:val="none"/>
                      </w:rPr>
                      <m:t>k</m:t>
                    </m:r>
                    <m:ctrlPr>
                      <w:rPr>
                        <w:rFonts w:ascii="Cambria Math" w:hAnsi="Cambria Math"/>
                        <w:i/>
                        <w:highlight w:val="none"/>
                      </w:rPr>
                    </m:ctrlPr>
                  </m:sub>
                </m:sSub>
                <m:ctrlPr>
                  <w:rPr>
                    <w:rFonts w:ascii="Cambria Math" w:hAnsi="Cambria Math"/>
                    <w:i/>
                    <w:highlight w:val="none"/>
                  </w:rPr>
                </m:ctrlPr>
              </m:e>
            </m:d>
            <m:ctrlPr>
              <w:rPr>
                <w:rFonts w:ascii="Cambria Math" w:hAnsi="Cambria Math"/>
                <w:i/>
                <w:highlight w:val="none"/>
              </w:rPr>
            </m:ctrlPr>
          </m:e>
        </m:nary>
        <m:r>
          <m:rPr/>
          <w:rPr>
            <w:rFonts w:hint="default" w:ascii="Cambria Math" w:hAnsi="Cambria Math"/>
            <w:highlight w:val="none"/>
            <w:lang w:val="en-US" w:eastAsia="zh-CN"/>
          </w:rPr>
          <m:t>+</m:t>
        </m:r>
        <m:nary>
          <m:naryPr>
            <m:chr m:val="∑"/>
            <m:subHide m:val="1"/>
            <m:supHide m:val="1"/>
            <m:ctrlPr>
              <w:rPr>
                <w:rFonts w:ascii="Cambria Math" w:hAnsi="Cambria Math"/>
                <w:i/>
                <w:highlight w:val="none"/>
              </w:rPr>
            </m:ctrlPr>
          </m:naryPr>
          <m:sub>
            <m:ctrlPr>
              <w:rPr>
                <w:rFonts w:ascii="Cambria Math" w:hAnsi="Cambria Math"/>
                <w:i/>
                <w:highlight w:val="none"/>
              </w:rPr>
            </m:ctrlPr>
          </m:sub>
          <m:sup>
            <m:ctrlPr>
              <w:rPr>
                <w:rFonts w:ascii="Cambria Math" w:hAnsi="Cambria Math"/>
                <w:i/>
                <w:highlight w:val="none"/>
              </w:rPr>
            </m:ctrlPr>
          </m:sup>
          <m:e>
            <m:d>
              <m:dPr>
                <m:ctrlPr>
                  <w:rPr>
                    <w:rFonts w:ascii="Cambria Math" w:hAnsi="Cambria Math"/>
                    <w:i/>
                    <w:highlight w:val="none"/>
                  </w:rPr>
                </m:ctrlPr>
              </m:dPr>
              <m:e>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r>
                      <m:rPr/>
                      <w:rPr>
                        <w:rFonts w:hint="default" w:ascii="Cambria Math" w:hAnsi="Cambria Math"/>
                        <w:highlight w:val="none"/>
                        <w:lang w:val="en-US" w:eastAsia="zh-CN"/>
                      </w:rPr>
                      <m:t>C2,j</m:t>
                    </m:r>
                    <m:ctrlPr>
                      <w:rPr>
                        <w:rFonts w:ascii="Cambria Math" w:hAnsi="Cambria Math"/>
                        <w:i/>
                        <w:highlight w:val="none"/>
                      </w:rPr>
                    </m:ctrlPr>
                  </m:sub>
                </m:sSub>
                <m:r>
                  <m:rPr/>
                  <w:rPr>
                    <w:rFonts w:ascii="Cambria Math" w:hAnsi="Cambria Math"/>
                    <w:highlight w:val="none"/>
                  </w:rPr>
                  <m:t>×CE</m:t>
                </m:r>
                <m:sSub>
                  <m:sSubPr>
                    <m:ctrlPr>
                      <w:rPr>
                        <w:rFonts w:ascii="Cambria Math" w:hAnsi="Cambria Math"/>
                        <w:i/>
                        <w:highlight w:val="none"/>
                      </w:rPr>
                    </m:ctrlPr>
                  </m:sSubPr>
                  <m:e>
                    <m:r>
                      <m:rPr/>
                      <w:rPr>
                        <w:rFonts w:ascii="Cambria Math" w:hAnsi="Cambria Math"/>
                        <w:highlight w:val="none"/>
                      </w:rPr>
                      <m:t>F</m:t>
                    </m:r>
                    <m:ctrlPr>
                      <w:rPr>
                        <w:rFonts w:ascii="Cambria Math" w:hAnsi="Cambria Math"/>
                        <w:i/>
                        <w:highlight w:val="none"/>
                      </w:rPr>
                    </m:ctrlPr>
                  </m:e>
                  <m:sub>
                    <m:r>
                      <m:rPr>
                        <m:nor/>
                      </m:rPr>
                      <w:rPr>
                        <w:rFonts w:hint="default" w:ascii="Cambria Math" w:hAnsi="Cambria Math"/>
                        <w:i/>
                        <w:highlight w:val="none"/>
                        <w:lang w:val="en-US" w:eastAsia="zh-CN"/>
                      </w:rPr>
                      <m:t>C,</m:t>
                    </m:r>
                    <m:r>
                      <m:rPr>
                        <m:nor/>
                      </m:rPr>
                      <w:rPr>
                        <w:rFonts w:ascii="Cambria Math" w:hAnsi="Cambria Math"/>
                        <w:i/>
                        <w:highlight w:val="none"/>
                      </w:rPr>
                      <m:t>i,j</m:t>
                    </m:r>
                    <m:ctrlPr>
                      <w:rPr>
                        <w:rFonts w:ascii="Cambria Math" w:hAnsi="Cambria Math"/>
                        <w:i/>
                        <w:highlight w:val="none"/>
                      </w:rPr>
                    </m:ctrlPr>
                  </m:sub>
                </m:sSub>
                <m:ctrlPr>
                  <w:rPr>
                    <w:rFonts w:ascii="Cambria Math" w:hAnsi="Cambria Math"/>
                    <w:i/>
                    <w:highlight w:val="none"/>
                  </w:rPr>
                </m:ctrlPr>
              </m:e>
            </m:d>
            <m:ctrlPr>
              <w:rPr>
                <w:rFonts w:ascii="Cambria Math" w:hAnsi="Cambria Math"/>
                <w:i/>
                <w:highlight w:val="none"/>
              </w:rPr>
            </m:ctrlPr>
          </m:e>
        </m:nary>
      </m:oMath>
      <w:r>
        <w:rPr>
          <w:rFonts w:ascii="Times New Roman"/>
          <w:highlight w:val="none"/>
        </w:rPr>
        <w:t>+</w:t>
      </w:r>
      <m:oMath>
        <m:nary>
          <m:naryPr>
            <m:chr m:val="∑"/>
            <m:subHide m:val="1"/>
            <m:supHide m:val="1"/>
            <m:ctrlPr>
              <w:rPr>
                <w:rFonts w:ascii="Cambria Math" w:hAnsi="Cambria Math"/>
                <w:i/>
                <w:highlight w:val="none"/>
              </w:rPr>
            </m:ctrlPr>
          </m:naryPr>
          <m:sub>
            <m:ctrlPr>
              <w:rPr>
                <w:rFonts w:ascii="Cambria Math" w:hAnsi="Cambria Math"/>
                <w:i/>
                <w:highlight w:val="none"/>
              </w:rPr>
            </m:ctrlPr>
          </m:sub>
          <m:sup>
            <m:ctrlPr>
              <w:rPr>
                <w:rFonts w:ascii="Cambria Math" w:hAnsi="Cambria Math"/>
                <w:i/>
                <w:highlight w:val="none"/>
              </w:rPr>
            </m:ctrlPr>
          </m:sup>
          <m:e>
            <m:d>
              <m:dPr>
                <m:ctrlPr>
                  <w:rPr>
                    <w:rFonts w:ascii="Cambria Math" w:hAnsi="Cambria Math"/>
                    <w:i/>
                    <w:highlight w:val="none"/>
                  </w:rPr>
                </m:ctrlPr>
              </m:dPr>
              <m:e>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r>
                      <m:rPr/>
                      <w:rPr>
                        <w:rFonts w:hint="default" w:ascii="Cambria Math" w:hAnsi="Cambria Math"/>
                        <w:highlight w:val="none"/>
                        <w:lang w:val="en-US" w:eastAsia="zh-CN"/>
                      </w:rPr>
                      <m:t>C3,j,k</m:t>
                    </m:r>
                    <m:ctrlPr>
                      <w:rPr>
                        <w:rFonts w:ascii="Cambria Math" w:hAnsi="Cambria Math"/>
                        <w:i/>
                        <w:highlight w:val="none"/>
                      </w:rPr>
                    </m:ctrlPr>
                  </m:sub>
                </m:sSub>
                <m:r>
                  <m:rPr/>
                  <w:rPr>
                    <w:rFonts w:ascii="Cambria Math" w:hAnsi="Cambria Math"/>
                    <w:highlight w:val="none"/>
                  </w:rPr>
                  <m:t>×</m:t>
                </m:r>
                <m:sSub>
                  <m:sSubPr>
                    <m:ctrlPr>
                      <w:rPr>
                        <w:rFonts w:ascii="Cambria Math" w:hAnsi="Cambria Math"/>
                        <w:i/>
                        <w:iCs w:val="0"/>
                        <w:highlight w:val="none"/>
                      </w:rPr>
                    </m:ctrlPr>
                  </m:sSubPr>
                  <m:e>
                    <m:r>
                      <m:rPr/>
                      <w:rPr>
                        <w:rFonts w:hint="default" w:ascii="Cambria Math" w:hAnsi="Cambria Math"/>
                        <w:highlight w:val="none"/>
                      </w:rPr>
                      <m:t>D</m:t>
                    </m:r>
                    <m:ctrlPr>
                      <w:rPr>
                        <w:rFonts w:ascii="Cambria Math" w:hAnsi="Cambria Math"/>
                        <w:i/>
                        <w:iCs w:val="0"/>
                        <w:highlight w:val="none"/>
                      </w:rPr>
                    </m:ctrlPr>
                  </m:e>
                  <m:sub>
                    <m:r>
                      <m:rPr/>
                      <w:rPr>
                        <w:rFonts w:hint="default" w:ascii="Cambria Math" w:hAnsi="Cambria Math"/>
                        <w:highlight w:val="none"/>
                        <w:lang w:val="en-US" w:eastAsia="zh-CN"/>
                      </w:rPr>
                      <m:t>C,</m:t>
                    </m:r>
                    <m:r>
                      <m:rPr/>
                      <w:rPr>
                        <w:rFonts w:hint="default" w:ascii="Cambria Math" w:hAnsi="Cambria Math"/>
                        <w:highlight w:val="none"/>
                      </w:rPr>
                      <m:t>j,k</m:t>
                    </m:r>
                    <m:ctrlPr>
                      <w:rPr>
                        <w:rFonts w:ascii="Cambria Math" w:hAnsi="Cambria Math"/>
                        <w:i/>
                        <w:iCs w:val="0"/>
                        <w:highlight w:val="none"/>
                      </w:rPr>
                    </m:ctrlPr>
                  </m:sub>
                </m:sSub>
                <m:r>
                  <m:rPr/>
                  <w:rPr>
                    <w:rFonts w:ascii="Cambria Math" w:hAnsi="Cambria Math"/>
                    <w:highlight w:val="none"/>
                  </w:rPr>
                  <m:t>×TE</m:t>
                </m:r>
                <m:sSub>
                  <m:sSubPr>
                    <m:ctrlPr>
                      <w:rPr>
                        <w:rFonts w:ascii="Cambria Math" w:hAnsi="Cambria Math"/>
                        <w:i/>
                        <w:highlight w:val="none"/>
                      </w:rPr>
                    </m:ctrlPr>
                  </m:sSubPr>
                  <m:e>
                    <m:r>
                      <m:rPr/>
                      <w:rPr>
                        <w:rFonts w:ascii="Cambria Math" w:hAnsi="Cambria Math"/>
                        <w:highlight w:val="none"/>
                      </w:rPr>
                      <m:t>F</m:t>
                    </m:r>
                    <m:ctrlPr>
                      <w:rPr>
                        <w:rFonts w:ascii="Cambria Math" w:hAnsi="Cambria Math"/>
                        <w:i/>
                        <w:highlight w:val="none"/>
                      </w:rPr>
                    </m:ctrlPr>
                  </m:e>
                  <m:sub>
                    <m:r>
                      <m:rPr>
                        <m:nor/>
                      </m:rPr>
                      <w:rPr>
                        <w:rFonts w:ascii="Cambria Math" w:hAnsi="Cambria Math"/>
                        <w:i/>
                        <w:highlight w:val="none"/>
                      </w:rPr>
                      <m:t>i,k</m:t>
                    </m:r>
                    <m:ctrlPr>
                      <w:rPr>
                        <w:rFonts w:ascii="Cambria Math" w:hAnsi="Cambria Math"/>
                        <w:i/>
                        <w:highlight w:val="none"/>
                      </w:rPr>
                    </m:ctrlPr>
                  </m:sub>
                </m:sSub>
                <m:ctrlPr>
                  <w:rPr>
                    <w:rFonts w:ascii="Cambria Math" w:hAnsi="Cambria Math"/>
                    <w:i/>
                    <w:highlight w:val="none"/>
                  </w:rPr>
                </m:ctrlPr>
              </m:e>
            </m:d>
            <m:ctrlPr>
              <w:rPr>
                <w:rFonts w:ascii="Cambria Math" w:hAnsi="Cambria Math"/>
                <w:i/>
                <w:highlight w:val="none"/>
              </w:rPr>
            </m:ctrlPr>
          </m:e>
        </m:nary>
      </m:oMath>
      <w:r>
        <w:rPr>
          <w:rFonts w:ascii="Times New Roman"/>
          <w:highlight w:val="none"/>
        </w:rPr>
        <w:t>…………（</w:t>
      </w:r>
      <w:r>
        <w:rPr>
          <w:rFonts w:hint="eastAsia" w:ascii="Times New Roman"/>
          <w:highlight w:val="none"/>
          <w:lang w:val="en-US" w:eastAsia="zh-CN"/>
        </w:rPr>
        <w:t>5</w:t>
      </w:r>
      <w:r>
        <w:rPr>
          <w:rFonts w:ascii="Times New Roman"/>
          <w:highlight w:val="none"/>
        </w:rPr>
        <w:t>）</w:t>
      </w:r>
    </w:p>
    <w:p w14:paraId="26CB4E39">
      <w:pPr>
        <w:spacing w:line="276" w:lineRule="auto"/>
        <w:ind w:firstLine="420" w:firstLineChars="200"/>
        <w:rPr>
          <w:highlight w:val="none"/>
        </w:rPr>
      </w:pPr>
      <w:r>
        <w:rPr>
          <w:highlight w:val="none"/>
        </w:rPr>
        <w:t>式中：</w:t>
      </w:r>
    </w:p>
    <w:tbl>
      <w:tblPr>
        <w:tblStyle w:val="3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36"/>
        <w:gridCol w:w="686"/>
        <w:gridCol w:w="8145"/>
      </w:tblGrid>
      <w:tr w14:paraId="503A0C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1136" w:type="dxa"/>
          </w:tcPr>
          <w:p w14:paraId="4CA7C7A2">
            <w:pPr>
              <w:pStyle w:val="27"/>
              <w:spacing w:line="276" w:lineRule="auto"/>
              <w:jc w:val="right"/>
              <w:rPr>
                <w:rFonts w:hint="default" w:ascii="Times New Roman" w:eastAsia="宋体"/>
                <w:i/>
                <w:iCs/>
                <w:szCs w:val="18"/>
                <w:highlight w:val="none"/>
                <w:lang w:val="en-US" w:eastAsia="zh-CN"/>
              </w:rPr>
            </w:pPr>
            <w:r>
              <w:rPr>
                <w:rFonts w:hint="eastAsia" w:ascii="Times New Roman"/>
                <w:i/>
                <w:iCs/>
                <w:szCs w:val="18"/>
                <w:highlight w:val="none"/>
                <w:lang w:val="en-US" w:eastAsia="zh-CN"/>
              </w:rPr>
              <w:t>M</w:t>
            </w:r>
            <w:r>
              <w:rPr>
                <w:rFonts w:hint="eastAsia" w:ascii="Times New Roman"/>
                <w:i/>
                <w:iCs/>
                <w:szCs w:val="18"/>
                <w:highlight w:val="none"/>
                <w:vertAlign w:val="subscript"/>
                <w:lang w:val="en-US" w:eastAsia="zh-CN"/>
              </w:rPr>
              <w:t>C1,k</w:t>
            </w:r>
          </w:p>
        </w:tc>
        <w:tc>
          <w:tcPr>
            <w:tcW w:w="686" w:type="dxa"/>
          </w:tcPr>
          <w:p w14:paraId="105883ED">
            <w:pPr>
              <w:pStyle w:val="27"/>
              <w:spacing w:line="276" w:lineRule="auto"/>
              <w:ind w:firstLine="0" w:firstLineChars="0"/>
              <w:rPr>
                <w:rFonts w:hint="eastAsia" w:ascii="Times New Roman" w:eastAsia="宋体"/>
                <w:szCs w:val="21"/>
                <w:highlight w:val="none"/>
                <w:lang w:eastAsia="zh-CN"/>
              </w:rPr>
            </w:pPr>
            <w:r>
              <w:rPr>
                <w:rFonts w:hint="eastAsia" w:ascii="Times New Roman"/>
                <w:szCs w:val="21"/>
                <w:highlight w:val="none"/>
                <w:lang w:eastAsia="zh-CN"/>
              </w:rPr>
              <w:t>——</w:t>
            </w:r>
          </w:p>
        </w:tc>
        <w:tc>
          <w:tcPr>
            <w:tcW w:w="8145" w:type="dxa"/>
          </w:tcPr>
          <w:p w14:paraId="14F53709">
            <w:pPr>
              <w:pStyle w:val="27"/>
              <w:spacing w:line="276" w:lineRule="auto"/>
              <w:ind w:firstLine="0" w:firstLineChars="0"/>
              <w:rPr>
                <w:rFonts w:hint="default" w:ascii="Times New Roman"/>
                <w:szCs w:val="21"/>
                <w:highlight w:val="none"/>
                <w:lang w:val="en-US"/>
              </w:rPr>
            </w:pPr>
            <w:r>
              <w:rPr>
                <w:rFonts w:ascii="Times New Roman"/>
                <w:szCs w:val="21"/>
                <w:highlight w:val="none"/>
              </w:rPr>
              <w:t>每功能单位（</w:t>
            </w:r>
            <w:r>
              <w:rPr>
                <w:rFonts w:hint="eastAsia" w:ascii="Times New Roman"/>
                <w:szCs w:val="21"/>
                <w:highlight w:val="none"/>
              </w:rPr>
              <w:t>声明单位</w:t>
            </w:r>
            <w:r>
              <w:rPr>
                <w:rFonts w:ascii="Times New Roman"/>
                <w:szCs w:val="21"/>
                <w:highlight w:val="none"/>
              </w:rPr>
              <w:t>）</w:t>
            </w:r>
            <w:r>
              <w:rPr>
                <w:rFonts w:hint="eastAsia" w:ascii="Times New Roman"/>
                <w:szCs w:val="21"/>
                <w:highlight w:val="none"/>
                <w:lang w:val="en-US" w:eastAsia="zh-CN"/>
              </w:rPr>
              <w:t>分销阶段第</w:t>
            </w:r>
            <w:r>
              <w:rPr>
                <w:rFonts w:ascii="Times New Roman"/>
                <w:i/>
                <w:iCs/>
                <w:szCs w:val="21"/>
                <w:highlight w:val="none"/>
              </w:rPr>
              <w:t>k</w:t>
            </w:r>
            <w:r>
              <w:rPr>
                <w:rFonts w:ascii="Times New Roman"/>
                <w:szCs w:val="18"/>
                <w:highlight w:val="none"/>
              </w:rPr>
              <w:t>种运输方式</w:t>
            </w:r>
            <w:r>
              <w:rPr>
                <w:rFonts w:hint="eastAsia" w:ascii="Times New Roman"/>
                <w:szCs w:val="21"/>
                <w:highlight w:val="none"/>
                <w:lang w:val="en-US" w:eastAsia="zh-CN"/>
              </w:rPr>
              <w:t>产品运输量，单位为吨（t）；</w:t>
            </w:r>
          </w:p>
        </w:tc>
      </w:tr>
      <w:tr w14:paraId="137A84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1136" w:type="dxa"/>
          </w:tcPr>
          <w:p w14:paraId="388FD72F">
            <w:pPr>
              <w:pStyle w:val="27"/>
              <w:spacing w:line="276" w:lineRule="auto"/>
              <w:jc w:val="right"/>
              <w:rPr>
                <w:rFonts w:hint="default" w:ascii="Cambria Math" w:hAnsi="Cambria Math" w:eastAsia="宋体"/>
                <w:i/>
                <w:szCs w:val="18"/>
                <w:highlight w:val="none"/>
                <w:lang w:val="en-US" w:eastAsia="zh-CN"/>
                <w:oMath/>
              </w:rPr>
            </w:pPr>
            <w:r>
              <w:rPr>
                <w:rFonts w:hint="eastAsia" w:hAnsi="Cambria Math"/>
                <w:i/>
                <w:szCs w:val="18"/>
                <w:highlight w:val="none"/>
                <w:lang w:val="en-US" w:eastAsia="zh-CN"/>
              </w:rPr>
              <w:t>D</w:t>
            </w:r>
            <w:r>
              <w:rPr>
                <w:rFonts w:hint="eastAsia" w:hAnsi="Cambria Math"/>
                <w:i/>
                <w:szCs w:val="18"/>
                <w:highlight w:val="none"/>
                <w:vertAlign w:val="subscript"/>
                <w:lang w:val="en-US" w:eastAsia="zh-CN"/>
              </w:rPr>
              <w:t>C,K</w:t>
            </w:r>
          </w:p>
        </w:tc>
        <w:tc>
          <w:tcPr>
            <w:tcW w:w="686" w:type="dxa"/>
            <w:vAlign w:val="top"/>
          </w:tcPr>
          <w:p w14:paraId="24F2006F">
            <w:pPr>
              <w:pStyle w:val="27"/>
              <w:spacing w:line="276" w:lineRule="auto"/>
              <w:ind w:firstLine="0" w:firstLineChars="0"/>
              <w:rPr>
                <w:rFonts w:hint="eastAsia" w:ascii="Times New Roman" w:hAnsi="Times New Roman" w:eastAsia="宋体" w:cs="Times New Roman"/>
                <w:sz w:val="21"/>
                <w:szCs w:val="21"/>
                <w:highlight w:val="none"/>
                <w:lang w:val="en-US" w:eastAsia="zh-CN" w:bidi="ar-SA"/>
              </w:rPr>
            </w:pPr>
            <w:r>
              <w:rPr>
                <w:rFonts w:hint="eastAsia" w:ascii="Times New Roman"/>
                <w:szCs w:val="21"/>
                <w:highlight w:val="none"/>
                <w:lang w:eastAsia="zh-CN"/>
              </w:rPr>
              <w:t>——</w:t>
            </w:r>
          </w:p>
        </w:tc>
        <w:tc>
          <w:tcPr>
            <w:tcW w:w="8145" w:type="dxa"/>
          </w:tcPr>
          <w:p w14:paraId="0D34D43D">
            <w:pPr>
              <w:pStyle w:val="27"/>
              <w:spacing w:line="276" w:lineRule="auto"/>
              <w:ind w:firstLine="0" w:firstLineChars="0"/>
              <w:rPr>
                <w:rFonts w:ascii="Times New Roman"/>
                <w:szCs w:val="21"/>
                <w:highlight w:val="none"/>
              </w:rPr>
            </w:pPr>
            <w:r>
              <w:rPr>
                <w:rFonts w:ascii="Times New Roman"/>
                <w:szCs w:val="21"/>
                <w:highlight w:val="none"/>
              </w:rPr>
              <w:t>每功能单位（</w:t>
            </w:r>
            <w:r>
              <w:rPr>
                <w:rFonts w:hint="eastAsia" w:ascii="Times New Roman"/>
                <w:szCs w:val="21"/>
                <w:highlight w:val="none"/>
              </w:rPr>
              <w:t>声明单位</w:t>
            </w:r>
            <w:r>
              <w:rPr>
                <w:rFonts w:ascii="Times New Roman"/>
                <w:szCs w:val="21"/>
                <w:highlight w:val="none"/>
              </w:rPr>
              <w:t>）</w:t>
            </w:r>
            <w:r>
              <w:rPr>
                <w:rFonts w:hint="eastAsia" w:ascii="Times New Roman"/>
                <w:szCs w:val="21"/>
                <w:highlight w:val="none"/>
                <w:lang w:val="en-US" w:eastAsia="zh-CN"/>
              </w:rPr>
              <w:t>分销阶段产品</w:t>
            </w:r>
            <w:r>
              <w:rPr>
                <w:rFonts w:ascii="Times New Roman"/>
                <w:szCs w:val="18"/>
                <w:highlight w:val="none"/>
              </w:rPr>
              <w:t>第</w:t>
            </w:r>
            <w:r>
              <w:rPr>
                <w:rFonts w:ascii="Times New Roman"/>
                <w:i/>
                <w:iCs/>
                <w:szCs w:val="21"/>
                <w:highlight w:val="none"/>
              </w:rPr>
              <w:t>k</w:t>
            </w:r>
            <w:r>
              <w:rPr>
                <w:rFonts w:ascii="Times New Roman"/>
                <w:szCs w:val="18"/>
                <w:highlight w:val="none"/>
              </w:rPr>
              <w:t>种运输方式的运输距离，单位为千米（km）</w:t>
            </w:r>
            <w:r>
              <w:rPr>
                <w:rFonts w:hint="eastAsia" w:ascii="Times New Roman"/>
                <w:szCs w:val="18"/>
                <w:highlight w:val="none"/>
                <w:lang w:eastAsia="zh-CN"/>
              </w:rPr>
              <w:t>。</w:t>
            </w:r>
          </w:p>
        </w:tc>
      </w:tr>
      <w:tr w14:paraId="67C5D6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1136" w:type="dxa"/>
          </w:tcPr>
          <w:p w14:paraId="4EC41BF5">
            <w:pPr>
              <w:pStyle w:val="27"/>
              <w:spacing w:line="276" w:lineRule="auto"/>
              <w:jc w:val="right"/>
              <w:rPr>
                <w:rFonts w:hint="eastAsia" w:hAnsi="Cambria Math"/>
                <w:i/>
                <w:szCs w:val="18"/>
                <w:highlight w:val="none"/>
                <w:lang w:val="en-US" w:eastAsia="zh-CN"/>
              </w:rPr>
            </w:pPr>
            <m:oMathPara>
              <m:oMathParaPr>
                <m:jc m:val="right"/>
              </m:oMathParaPr>
              <m:oMath>
                <m:sSub>
                  <m:sSubPr>
                    <m:ctrlPr>
                      <w:rPr>
                        <w:rFonts w:ascii="Cambria Math" w:hAnsi="Cambria Math"/>
                        <w:i/>
                        <w:szCs w:val="18"/>
                        <w:highlight w:val="none"/>
                      </w:rPr>
                    </m:ctrlPr>
                  </m:sSubPr>
                  <m:e>
                    <m:r>
                      <m:rPr/>
                      <w:rPr>
                        <w:rFonts w:hint="default" w:ascii="Cambria Math" w:hAnsi="Cambria Math"/>
                        <w:szCs w:val="18"/>
                        <w:highlight w:val="none"/>
                        <w:lang w:val="en-US" w:eastAsia="zh-CN"/>
                      </w:rPr>
                      <m:t>M</m:t>
                    </m:r>
                    <m:ctrlPr>
                      <w:rPr>
                        <w:rFonts w:ascii="Cambria Math" w:hAnsi="Cambria Math"/>
                        <w:i/>
                        <w:szCs w:val="18"/>
                        <w:highlight w:val="none"/>
                      </w:rPr>
                    </m:ctrlPr>
                  </m:e>
                  <m:sub>
                    <m:r>
                      <m:rPr/>
                      <w:rPr>
                        <w:rFonts w:hint="default" w:ascii="Cambria Math" w:hAnsi="Cambria Math"/>
                        <w:szCs w:val="18"/>
                        <w:highlight w:val="none"/>
                        <w:lang w:val="en-US" w:eastAsia="zh-CN"/>
                      </w:rPr>
                      <m:t>C2,j</m:t>
                    </m:r>
                    <m:ctrlPr>
                      <w:rPr>
                        <w:rFonts w:ascii="Cambria Math" w:hAnsi="Cambria Math"/>
                        <w:i/>
                        <w:szCs w:val="18"/>
                        <w:highlight w:val="none"/>
                      </w:rPr>
                    </m:ctrlPr>
                  </m:sub>
                </m:sSub>
              </m:oMath>
            </m:oMathPara>
          </w:p>
        </w:tc>
        <w:tc>
          <w:tcPr>
            <w:tcW w:w="686" w:type="dxa"/>
            <w:vAlign w:val="top"/>
          </w:tcPr>
          <w:p w14:paraId="6DE8EC10">
            <w:pPr>
              <w:pStyle w:val="27"/>
              <w:spacing w:line="276" w:lineRule="auto"/>
              <w:ind w:firstLine="0" w:firstLineChars="0"/>
              <w:rPr>
                <w:rFonts w:hint="eastAsia" w:ascii="Times New Roman"/>
                <w:szCs w:val="21"/>
                <w:highlight w:val="none"/>
                <w:lang w:eastAsia="zh-CN"/>
              </w:rPr>
            </w:pPr>
            <w:r>
              <w:rPr>
                <w:rFonts w:hint="eastAsia" w:ascii="Times New Roman"/>
                <w:szCs w:val="21"/>
                <w:highlight w:val="none"/>
                <w:lang w:eastAsia="zh-CN"/>
              </w:rPr>
              <w:t>——</w:t>
            </w:r>
          </w:p>
        </w:tc>
        <w:tc>
          <w:tcPr>
            <w:tcW w:w="8145" w:type="dxa"/>
          </w:tcPr>
          <w:p w14:paraId="5B2551D7">
            <w:pPr>
              <w:pStyle w:val="27"/>
              <w:spacing w:line="276" w:lineRule="auto"/>
              <w:ind w:firstLine="0" w:firstLineChars="0"/>
              <w:rPr>
                <w:rFonts w:ascii="Times New Roman"/>
                <w:szCs w:val="21"/>
                <w:highlight w:val="none"/>
              </w:rPr>
            </w:pPr>
            <w:r>
              <w:rPr>
                <w:rFonts w:ascii="Times New Roman"/>
                <w:szCs w:val="21"/>
                <w:highlight w:val="none"/>
              </w:rPr>
              <w:t>每功能单位（</w:t>
            </w:r>
            <w:r>
              <w:rPr>
                <w:rFonts w:hint="eastAsia" w:ascii="Times New Roman"/>
                <w:szCs w:val="21"/>
                <w:highlight w:val="none"/>
              </w:rPr>
              <w:t>声明单位</w:t>
            </w:r>
            <w:r>
              <w:rPr>
                <w:rFonts w:ascii="Times New Roman"/>
                <w:szCs w:val="21"/>
                <w:highlight w:val="none"/>
              </w:rPr>
              <w:t>）</w:t>
            </w:r>
            <w:r>
              <w:rPr>
                <w:rFonts w:hint="eastAsia" w:ascii="Times New Roman"/>
                <w:szCs w:val="21"/>
                <w:highlight w:val="none"/>
                <w:lang w:val="en-US" w:eastAsia="zh-CN"/>
              </w:rPr>
              <w:t>分销阶段</w:t>
            </w:r>
            <w:r>
              <w:rPr>
                <w:rFonts w:hint="default" w:ascii="Times New Roman"/>
                <w:szCs w:val="18"/>
                <w:highlight w:val="none"/>
                <w:lang w:val="en-US"/>
              </w:rPr>
              <w:t>第</w:t>
            </w:r>
            <w:r>
              <w:rPr>
                <w:rFonts w:hint="default" w:ascii="Times New Roman"/>
                <w:i/>
                <w:iCs/>
                <w:szCs w:val="21"/>
                <w:highlight w:val="none"/>
                <w:lang w:val="en-US"/>
              </w:rPr>
              <w:t>j</w:t>
            </w:r>
            <w:r>
              <w:rPr>
                <w:rFonts w:hint="default" w:ascii="Times New Roman"/>
                <w:szCs w:val="18"/>
                <w:highlight w:val="none"/>
                <w:lang w:val="en-US"/>
              </w:rPr>
              <w:t>种</w:t>
            </w:r>
            <w:r>
              <w:rPr>
                <w:rFonts w:hint="eastAsia" w:ascii="Times New Roman"/>
                <w:szCs w:val="18"/>
                <w:highlight w:val="none"/>
                <w:lang w:val="en-US" w:eastAsia="zh-CN"/>
              </w:rPr>
              <w:t>能源和物料</w:t>
            </w:r>
            <w:r>
              <w:rPr>
                <w:rFonts w:ascii="Times New Roman"/>
                <w:szCs w:val="18"/>
                <w:highlight w:val="none"/>
              </w:rPr>
              <w:t>的消耗量，单位视</w:t>
            </w:r>
            <w:r>
              <w:rPr>
                <w:rFonts w:hint="eastAsia" w:ascii="Times New Roman"/>
                <w:szCs w:val="18"/>
                <w:highlight w:val="none"/>
                <w:lang w:val="en-US" w:eastAsia="zh-CN"/>
              </w:rPr>
              <w:t>能源和物料</w:t>
            </w:r>
            <w:r>
              <w:rPr>
                <w:rFonts w:ascii="Times New Roman"/>
                <w:szCs w:val="18"/>
                <w:highlight w:val="none"/>
              </w:rPr>
              <w:t>种类而定；</w:t>
            </w:r>
          </w:p>
        </w:tc>
      </w:tr>
      <w:tr w14:paraId="76C492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1136" w:type="dxa"/>
          </w:tcPr>
          <w:p w14:paraId="7604A8E6">
            <w:pPr>
              <w:pStyle w:val="27"/>
              <w:spacing w:line="276" w:lineRule="auto"/>
              <w:jc w:val="right"/>
              <w:rPr>
                <w:rFonts w:hint="default" w:ascii="Times New Roman" w:eastAsia="宋体"/>
                <w:szCs w:val="18"/>
                <w:highlight w:val="none"/>
                <w:lang w:val="en-US" w:eastAsia="zh-CN"/>
              </w:rPr>
            </w:pPr>
            <w:r>
              <w:rPr>
                <w:rFonts w:ascii="Times New Roman"/>
                <w:i/>
                <w:iCs/>
                <w:szCs w:val="18"/>
                <w:highlight w:val="none"/>
              </w:rPr>
              <w:t>M</w:t>
            </w:r>
            <w:r>
              <w:rPr>
                <w:rFonts w:hint="eastAsia" w:ascii="Times New Roman"/>
                <w:i/>
                <w:iCs/>
                <w:szCs w:val="18"/>
                <w:highlight w:val="none"/>
                <w:vertAlign w:val="subscript"/>
                <w:lang w:val="en-US" w:eastAsia="zh-CN"/>
              </w:rPr>
              <w:t>C3,</w:t>
            </w:r>
            <w:r>
              <w:rPr>
                <w:rFonts w:ascii="Times New Roman"/>
                <w:i/>
                <w:iCs/>
                <w:szCs w:val="18"/>
                <w:highlight w:val="none"/>
                <w:vertAlign w:val="subscript"/>
              </w:rPr>
              <w:t>j</w:t>
            </w:r>
            <w:r>
              <w:rPr>
                <w:rFonts w:hint="eastAsia" w:ascii="Times New Roman"/>
                <w:i/>
                <w:iCs/>
                <w:szCs w:val="18"/>
                <w:highlight w:val="none"/>
                <w:vertAlign w:val="subscript"/>
                <w:lang w:val="en-US" w:eastAsia="zh-CN"/>
              </w:rPr>
              <w:t>,k</w:t>
            </w:r>
          </w:p>
        </w:tc>
        <w:tc>
          <w:tcPr>
            <w:tcW w:w="686" w:type="dxa"/>
          </w:tcPr>
          <w:p w14:paraId="2E235F47">
            <w:pPr>
              <w:pStyle w:val="27"/>
              <w:spacing w:line="276" w:lineRule="auto"/>
              <w:ind w:firstLine="0" w:firstLineChars="0"/>
              <w:rPr>
                <w:rFonts w:ascii="Times New Roman"/>
                <w:szCs w:val="18"/>
                <w:highlight w:val="none"/>
              </w:rPr>
            </w:pPr>
            <w:r>
              <w:rPr>
                <w:rFonts w:ascii="Times New Roman"/>
                <w:szCs w:val="21"/>
                <w:highlight w:val="none"/>
              </w:rPr>
              <w:t>——</w:t>
            </w:r>
          </w:p>
        </w:tc>
        <w:tc>
          <w:tcPr>
            <w:tcW w:w="8145" w:type="dxa"/>
          </w:tcPr>
          <w:p w14:paraId="22E0C5CA">
            <w:pPr>
              <w:pStyle w:val="27"/>
              <w:spacing w:line="276" w:lineRule="auto"/>
              <w:ind w:firstLine="0" w:firstLineChars="0"/>
              <w:rPr>
                <w:rFonts w:ascii="Times New Roman"/>
                <w:szCs w:val="18"/>
                <w:highlight w:val="none"/>
              </w:rPr>
            </w:pPr>
            <w:r>
              <w:rPr>
                <w:rFonts w:ascii="Times New Roman"/>
                <w:szCs w:val="21"/>
                <w:highlight w:val="none"/>
              </w:rPr>
              <w:t>每功能单位（</w:t>
            </w:r>
            <w:r>
              <w:rPr>
                <w:rFonts w:hint="eastAsia" w:ascii="Times New Roman"/>
                <w:szCs w:val="21"/>
                <w:highlight w:val="none"/>
              </w:rPr>
              <w:t>声明单位</w:t>
            </w:r>
            <w:r>
              <w:rPr>
                <w:rFonts w:ascii="Times New Roman"/>
                <w:szCs w:val="21"/>
                <w:highlight w:val="none"/>
              </w:rPr>
              <w:t>）</w:t>
            </w:r>
            <w:r>
              <w:rPr>
                <w:rFonts w:hint="eastAsia" w:ascii="Times New Roman"/>
                <w:szCs w:val="21"/>
                <w:highlight w:val="none"/>
                <w:lang w:val="en-US" w:eastAsia="zh-CN"/>
              </w:rPr>
              <w:t>分销阶段</w:t>
            </w:r>
            <w:r>
              <w:rPr>
                <w:rFonts w:hint="default" w:ascii="Times New Roman"/>
                <w:szCs w:val="18"/>
                <w:highlight w:val="none"/>
                <w:lang w:val="en-US"/>
              </w:rPr>
              <w:t>第</w:t>
            </w:r>
            <w:r>
              <w:rPr>
                <w:rFonts w:hint="default" w:ascii="Times New Roman"/>
                <w:i/>
                <w:iCs/>
                <w:szCs w:val="21"/>
                <w:highlight w:val="none"/>
                <w:lang w:val="en-US"/>
              </w:rPr>
              <w:t>j</w:t>
            </w:r>
            <w:r>
              <w:rPr>
                <w:rFonts w:hint="default" w:ascii="Times New Roman"/>
                <w:szCs w:val="18"/>
                <w:highlight w:val="none"/>
                <w:lang w:val="en-US"/>
              </w:rPr>
              <w:t>种</w:t>
            </w:r>
            <w:r>
              <w:rPr>
                <w:rFonts w:hint="eastAsia" w:ascii="Times New Roman"/>
                <w:szCs w:val="18"/>
                <w:highlight w:val="none"/>
                <w:lang w:val="en-US" w:eastAsia="zh-CN"/>
              </w:rPr>
              <w:t>能源和物料</w:t>
            </w:r>
            <w:r>
              <w:rPr>
                <w:rFonts w:hint="eastAsia" w:ascii="Times New Roman"/>
                <w:szCs w:val="21"/>
                <w:highlight w:val="none"/>
                <w:lang w:val="en-US" w:eastAsia="zh-CN"/>
              </w:rPr>
              <w:t>第</w:t>
            </w:r>
            <w:r>
              <w:rPr>
                <w:rFonts w:ascii="Times New Roman"/>
                <w:i/>
                <w:iCs/>
                <w:szCs w:val="21"/>
                <w:highlight w:val="none"/>
              </w:rPr>
              <w:t>k</w:t>
            </w:r>
            <w:r>
              <w:rPr>
                <w:rFonts w:ascii="Times New Roman"/>
                <w:szCs w:val="18"/>
                <w:highlight w:val="none"/>
              </w:rPr>
              <w:t>种运输方式的</w:t>
            </w:r>
            <w:r>
              <w:rPr>
                <w:rFonts w:hint="eastAsia" w:ascii="Times New Roman"/>
                <w:szCs w:val="18"/>
                <w:highlight w:val="none"/>
                <w:lang w:val="en-US" w:eastAsia="zh-CN"/>
              </w:rPr>
              <w:t>运输</w:t>
            </w:r>
            <w:r>
              <w:rPr>
                <w:rFonts w:ascii="Times New Roman"/>
                <w:szCs w:val="18"/>
                <w:highlight w:val="none"/>
              </w:rPr>
              <w:t>量，单位视</w:t>
            </w:r>
            <w:r>
              <w:rPr>
                <w:rFonts w:hint="eastAsia" w:ascii="Times New Roman"/>
                <w:szCs w:val="18"/>
                <w:highlight w:val="none"/>
                <w:lang w:val="en-US" w:eastAsia="zh-CN"/>
              </w:rPr>
              <w:t>能源和物料</w:t>
            </w:r>
            <w:r>
              <w:rPr>
                <w:rFonts w:ascii="Times New Roman"/>
                <w:szCs w:val="18"/>
                <w:highlight w:val="none"/>
              </w:rPr>
              <w:t>种类而定；</w:t>
            </w:r>
          </w:p>
        </w:tc>
      </w:tr>
      <w:tr w14:paraId="772E8E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1136" w:type="dxa"/>
          </w:tcPr>
          <w:p w14:paraId="7FCE7466">
            <w:pPr>
              <w:pStyle w:val="27"/>
              <w:spacing w:line="276" w:lineRule="auto"/>
              <w:ind w:firstLine="0" w:firstLineChars="0"/>
              <w:jc w:val="right"/>
              <w:rPr>
                <w:rFonts w:ascii="Times New Roman"/>
                <w:szCs w:val="18"/>
                <w:highlight w:val="none"/>
              </w:rPr>
            </w:pPr>
            <w:r>
              <w:rPr>
                <w:rFonts w:ascii="Times New Roman"/>
                <w:i/>
                <w:szCs w:val="18"/>
                <w:highlight w:val="none"/>
              </w:rPr>
              <w:t>CEF</w:t>
            </w:r>
            <w:r>
              <w:rPr>
                <w:rFonts w:hint="eastAsia" w:ascii="Times New Roman"/>
                <w:i/>
                <w:szCs w:val="18"/>
                <w:highlight w:val="none"/>
                <w:vertAlign w:val="subscript"/>
                <w:lang w:val="en-US" w:eastAsia="zh-CN"/>
              </w:rPr>
              <w:t>C,</w:t>
            </w:r>
            <w:r>
              <w:rPr>
                <w:rFonts w:ascii="Times New Roman"/>
                <w:i/>
                <w:szCs w:val="18"/>
                <w:highlight w:val="none"/>
                <w:vertAlign w:val="subscript"/>
              </w:rPr>
              <w:t>i,j</w:t>
            </w:r>
          </w:p>
        </w:tc>
        <w:tc>
          <w:tcPr>
            <w:tcW w:w="686" w:type="dxa"/>
          </w:tcPr>
          <w:p w14:paraId="3A30D970">
            <w:pPr>
              <w:pStyle w:val="27"/>
              <w:spacing w:line="276" w:lineRule="auto"/>
              <w:ind w:firstLine="0" w:firstLineChars="0"/>
              <w:rPr>
                <w:rFonts w:ascii="Times New Roman"/>
                <w:szCs w:val="18"/>
                <w:highlight w:val="none"/>
              </w:rPr>
            </w:pPr>
            <w:r>
              <w:rPr>
                <w:rFonts w:ascii="Times New Roman"/>
                <w:szCs w:val="21"/>
                <w:highlight w:val="none"/>
              </w:rPr>
              <w:t>——</w:t>
            </w:r>
          </w:p>
        </w:tc>
        <w:tc>
          <w:tcPr>
            <w:tcW w:w="8145" w:type="dxa"/>
          </w:tcPr>
          <w:p w14:paraId="697417F7">
            <w:pPr>
              <w:pStyle w:val="27"/>
              <w:spacing w:line="276" w:lineRule="auto"/>
              <w:ind w:firstLine="0" w:firstLineChars="0"/>
              <w:rPr>
                <w:rFonts w:ascii="Times New Roman"/>
                <w:szCs w:val="18"/>
                <w:highlight w:val="none"/>
              </w:rPr>
            </w:pPr>
            <w:r>
              <w:rPr>
                <w:rFonts w:ascii="Times New Roman"/>
                <w:szCs w:val="18"/>
                <w:highlight w:val="none"/>
              </w:rPr>
              <w:t>第</w:t>
            </w:r>
            <w:r>
              <w:rPr>
                <w:rFonts w:ascii="Times New Roman"/>
                <w:i/>
                <w:iCs/>
                <w:szCs w:val="21"/>
                <w:highlight w:val="none"/>
              </w:rPr>
              <w:t>j</w:t>
            </w:r>
            <w:r>
              <w:rPr>
                <w:rFonts w:ascii="Times New Roman"/>
                <w:szCs w:val="18"/>
                <w:highlight w:val="none"/>
              </w:rPr>
              <w:t>种</w:t>
            </w:r>
            <w:r>
              <w:rPr>
                <w:rFonts w:hint="eastAsia" w:ascii="Times New Roman"/>
                <w:szCs w:val="18"/>
                <w:highlight w:val="none"/>
                <w:lang w:val="en-US" w:eastAsia="zh-CN"/>
              </w:rPr>
              <w:t>能源和物料获取</w:t>
            </w:r>
            <w:r>
              <w:rPr>
                <w:rFonts w:ascii="Times New Roman"/>
                <w:szCs w:val="18"/>
                <w:highlight w:val="none"/>
              </w:rPr>
              <w:t>的第</w:t>
            </w:r>
            <w:r>
              <w:rPr>
                <w:rFonts w:ascii="Times New Roman"/>
                <w:i/>
                <w:iCs/>
                <w:szCs w:val="21"/>
                <w:highlight w:val="none"/>
              </w:rPr>
              <w:t>i</w:t>
            </w:r>
            <w:r>
              <w:rPr>
                <w:rFonts w:ascii="Times New Roman"/>
                <w:szCs w:val="18"/>
                <w:highlight w:val="none"/>
              </w:rPr>
              <w:t>种温室气体排放因子，单位视</w:t>
            </w:r>
            <w:r>
              <w:rPr>
                <w:rFonts w:hint="eastAsia" w:ascii="Times New Roman"/>
                <w:szCs w:val="18"/>
                <w:highlight w:val="none"/>
                <w:lang w:val="en-US" w:eastAsia="zh-CN"/>
              </w:rPr>
              <w:t>能源和物料</w:t>
            </w:r>
            <w:r>
              <w:rPr>
                <w:rFonts w:ascii="Times New Roman"/>
                <w:szCs w:val="18"/>
                <w:highlight w:val="none"/>
              </w:rPr>
              <w:t>种类而定；</w:t>
            </w:r>
          </w:p>
        </w:tc>
      </w:tr>
      <w:tr w14:paraId="3830FE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1136" w:type="dxa"/>
          </w:tcPr>
          <w:p w14:paraId="579095D5">
            <w:pPr>
              <w:pStyle w:val="27"/>
              <w:spacing w:line="276" w:lineRule="auto"/>
              <w:ind w:firstLine="0" w:firstLineChars="0"/>
              <w:jc w:val="right"/>
              <w:rPr>
                <w:rFonts w:ascii="Times New Roman"/>
                <w:szCs w:val="18"/>
                <w:highlight w:val="none"/>
              </w:rPr>
            </w:pPr>
            <w:r>
              <w:rPr>
                <w:rFonts w:ascii="Times New Roman"/>
                <w:i/>
                <w:szCs w:val="18"/>
                <w:highlight w:val="none"/>
              </w:rPr>
              <w:t>D</w:t>
            </w:r>
            <w:r>
              <w:rPr>
                <w:rFonts w:hint="eastAsia" w:ascii="Times New Roman"/>
                <w:i/>
                <w:szCs w:val="18"/>
                <w:highlight w:val="none"/>
                <w:vertAlign w:val="subscript"/>
                <w:lang w:val="en-US" w:eastAsia="zh-CN"/>
              </w:rPr>
              <w:t>C,</w:t>
            </w:r>
            <w:r>
              <w:rPr>
                <w:rFonts w:ascii="Times New Roman"/>
                <w:i/>
                <w:szCs w:val="18"/>
                <w:highlight w:val="none"/>
                <w:vertAlign w:val="subscript"/>
              </w:rPr>
              <w:t>j,k</w:t>
            </w:r>
          </w:p>
        </w:tc>
        <w:tc>
          <w:tcPr>
            <w:tcW w:w="686" w:type="dxa"/>
          </w:tcPr>
          <w:p w14:paraId="5E3B2A3C">
            <w:pPr>
              <w:pStyle w:val="27"/>
              <w:spacing w:line="276" w:lineRule="auto"/>
              <w:ind w:firstLine="0" w:firstLineChars="0"/>
              <w:rPr>
                <w:rFonts w:ascii="Times New Roman"/>
                <w:szCs w:val="18"/>
                <w:highlight w:val="none"/>
              </w:rPr>
            </w:pPr>
            <w:r>
              <w:rPr>
                <w:rFonts w:ascii="Times New Roman"/>
                <w:szCs w:val="21"/>
                <w:highlight w:val="none"/>
              </w:rPr>
              <w:t>——</w:t>
            </w:r>
          </w:p>
        </w:tc>
        <w:tc>
          <w:tcPr>
            <w:tcW w:w="8145" w:type="dxa"/>
          </w:tcPr>
          <w:p w14:paraId="1D51973E">
            <w:pPr>
              <w:pStyle w:val="27"/>
              <w:spacing w:line="276" w:lineRule="auto"/>
              <w:ind w:firstLine="0" w:firstLineChars="0"/>
              <w:rPr>
                <w:rFonts w:hint="eastAsia" w:ascii="Times New Roman" w:eastAsia="宋体"/>
                <w:szCs w:val="18"/>
                <w:highlight w:val="none"/>
                <w:lang w:val="en-US" w:eastAsia="zh-CN"/>
              </w:rPr>
            </w:pPr>
            <w:r>
              <w:rPr>
                <w:rFonts w:ascii="Times New Roman"/>
                <w:iCs/>
                <w:szCs w:val="18"/>
                <w:highlight w:val="none"/>
              </w:rPr>
              <w:t>第</w:t>
            </w:r>
            <w:r>
              <w:rPr>
                <w:rFonts w:ascii="Times New Roman"/>
                <w:i/>
                <w:iCs/>
                <w:szCs w:val="21"/>
                <w:highlight w:val="none"/>
              </w:rPr>
              <w:t>j</w:t>
            </w:r>
            <w:r>
              <w:rPr>
                <w:rFonts w:ascii="Times New Roman"/>
                <w:iCs/>
                <w:szCs w:val="18"/>
                <w:highlight w:val="none"/>
              </w:rPr>
              <w:t>种</w:t>
            </w:r>
            <w:r>
              <w:rPr>
                <w:rFonts w:hint="eastAsia" w:ascii="Times New Roman"/>
                <w:szCs w:val="18"/>
                <w:highlight w:val="none"/>
                <w:lang w:val="en-US" w:eastAsia="zh-CN"/>
              </w:rPr>
              <w:t>能源和物料</w:t>
            </w:r>
            <w:r>
              <w:rPr>
                <w:rFonts w:ascii="Times New Roman"/>
                <w:szCs w:val="18"/>
                <w:highlight w:val="none"/>
              </w:rPr>
              <w:t>第</w:t>
            </w:r>
            <w:r>
              <w:rPr>
                <w:rFonts w:ascii="Times New Roman"/>
                <w:i/>
                <w:iCs/>
                <w:szCs w:val="21"/>
                <w:highlight w:val="none"/>
              </w:rPr>
              <w:t>k</w:t>
            </w:r>
            <w:r>
              <w:rPr>
                <w:rFonts w:ascii="Times New Roman"/>
                <w:szCs w:val="18"/>
                <w:highlight w:val="none"/>
              </w:rPr>
              <w:t>种运输方式的运输距离，单位为千米（km）</w:t>
            </w:r>
            <w:r>
              <w:rPr>
                <w:rFonts w:hint="eastAsia" w:ascii="Times New Roman"/>
                <w:szCs w:val="18"/>
                <w:highlight w:val="none"/>
                <w:lang w:eastAsia="zh-CN"/>
              </w:rPr>
              <w:t>。</w:t>
            </w:r>
          </w:p>
        </w:tc>
      </w:tr>
    </w:tbl>
    <w:p w14:paraId="3E810F2E">
      <w:pPr>
        <w:pStyle w:val="47"/>
        <w:numPr>
          <w:ilvl w:val="2"/>
          <w:numId w:val="11"/>
        </w:numPr>
        <w:adjustRightInd w:val="0"/>
        <w:snapToGrid w:val="0"/>
        <w:spacing w:beforeLines="0" w:afterLines="0" w:line="360" w:lineRule="exact"/>
        <w:ind w:left="0" w:firstLine="0"/>
        <w:jc w:val="both"/>
        <w:outlineLvl w:val="9"/>
        <w:rPr>
          <w:rFonts w:ascii="Times New Roman" w:eastAsia="宋体"/>
        </w:rPr>
      </w:pPr>
      <w:r>
        <w:rPr>
          <w:rFonts w:hint="eastAsia" w:ascii="Times New Roman" w:hAnsi="Times New Roman" w:eastAsia="宋体" w:cs="Times New Roman"/>
          <w:lang w:val="en-US" w:eastAsia="zh-CN"/>
        </w:rPr>
        <w:t>施工使用阶段</w:t>
      </w:r>
      <w:r>
        <w:rPr>
          <w:rFonts w:hint="default" w:ascii="Times New Roman" w:eastAsia="宋体"/>
          <w:lang w:eastAsia="zh-CN"/>
        </w:rPr>
        <w:t>（</w:t>
      </w:r>
      <w:r>
        <w:rPr>
          <w:rFonts w:hint="default" w:ascii="Times New Roman" w:eastAsia="宋体"/>
          <w:lang w:val="en-US" w:eastAsia="zh-CN"/>
        </w:rPr>
        <w:t>D</w:t>
      </w:r>
      <w:r>
        <w:rPr>
          <w:rFonts w:hint="default" w:ascii="Times New Roman" w:eastAsia="宋体"/>
          <w:lang w:eastAsia="zh-CN"/>
        </w:rPr>
        <w:t>）</w:t>
      </w:r>
    </w:p>
    <w:p w14:paraId="66A9E8A0">
      <w:pPr>
        <w:pStyle w:val="47"/>
        <w:numPr>
          <w:ilvl w:val="255"/>
          <w:numId w:val="0"/>
        </w:numPr>
        <w:spacing w:beforeLines="0" w:afterLines="0" w:line="276" w:lineRule="auto"/>
        <w:ind w:firstLine="420" w:firstLineChars="200"/>
        <w:outlineLvl w:val="9"/>
        <w:rPr>
          <w:rFonts w:hint="eastAsia" w:ascii="Times New Roman" w:eastAsia="宋体"/>
          <w:highlight w:val="none"/>
          <w:lang w:val="en-US" w:eastAsia="zh-CN"/>
        </w:rPr>
      </w:pPr>
      <w:r>
        <w:rPr>
          <w:rFonts w:ascii="Times New Roman" w:eastAsia="宋体"/>
          <w:highlight w:val="none"/>
        </w:rPr>
        <w:t>产品</w:t>
      </w:r>
      <w:r>
        <w:rPr>
          <w:rFonts w:hint="eastAsia" w:ascii="Times New Roman" w:eastAsia="宋体"/>
          <w:highlight w:val="none"/>
          <w:lang w:val="en-US" w:eastAsia="zh-CN"/>
        </w:rPr>
        <w:t>施工使用</w:t>
      </w:r>
      <w:r>
        <w:rPr>
          <w:rFonts w:ascii="Times New Roman" w:eastAsia="宋体"/>
          <w:highlight w:val="none"/>
        </w:rPr>
        <w:t>阶段涉及的能源和物料消耗产生的温室气体排放按式（</w:t>
      </w:r>
      <w:r>
        <w:rPr>
          <w:rFonts w:hint="eastAsia" w:ascii="Times New Roman" w:eastAsia="宋体"/>
          <w:highlight w:val="none"/>
          <w:lang w:val="en-US" w:eastAsia="zh-CN"/>
        </w:rPr>
        <w:t>6</w:t>
      </w:r>
      <w:r>
        <w:rPr>
          <w:rFonts w:ascii="Times New Roman" w:eastAsia="宋体"/>
          <w:highlight w:val="none"/>
        </w:rPr>
        <w:t>）计算</w:t>
      </w:r>
      <w:r>
        <w:rPr>
          <w:rFonts w:hint="eastAsia" w:ascii="Times New Roman" w:eastAsia="宋体"/>
          <w:highlight w:val="none"/>
          <w:lang w:eastAsia="zh-CN"/>
        </w:rPr>
        <w:t>：</w:t>
      </w:r>
    </w:p>
    <w:p w14:paraId="791074C7">
      <w:pPr>
        <w:pStyle w:val="27"/>
        <w:spacing w:line="276" w:lineRule="auto"/>
        <w:ind w:firstLine="0" w:firstLineChars="0"/>
        <w:jc w:val="right"/>
        <w:rPr>
          <w:rFonts w:ascii="Times New Roman"/>
          <w:highlight w:val="none"/>
        </w:rPr>
      </w:pPr>
      <m:oMath>
        <m:sSub>
          <m:sSubPr>
            <m:ctrlPr>
              <w:rPr>
                <w:rFonts w:ascii="Cambria Math" w:hAnsi="Cambria Math"/>
                <w:i/>
                <w:highlight w:val="none"/>
              </w:rPr>
            </m:ctrlPr>
          </m:sSubPr>
          <m:e>
            <m:r>
              <m:rPr/>
              <w:rPr>
                <w:rFonts w:ascii="Cambria Math" w:hAnsi="Cambria Math"/>
                <w:highlight w:val="none"/>
              </w:rPr>
              <m:t>CFP</m:t>
            </m:r>
            <m:ctrlPr>
              <w:rPr>
                <w:rFonts w:ascii="Cambria Math" w:hAnsi="Cambria Math"/>
                <w:i/>
                <w:highlight w:val="none"/>
              </w:rPr>
            </m:ctrlPr>
          </m:e>
          <m:sub>
            <m:r>
              <m:rPr/>
              <w:rPr>
                <w:rFonts w:hint="default" w:ascii="Cambria Math" w:hAnsi="Cambria Math"/>
                <w:highlight w:val="none"/>
                <w:lang w:val="en-US" w:eastAsia="zh-CN"/>
              </w:rPr>
              <m:t>D</m:t>
            </m:r>
            <m:r>
              <m:rPr/>
              <w:rPr>
                <w:rFonts w:ascii="Cambria Math" w:hAnsi="Cambria Math"/>
                <w:highlight w:val="none"/>
              </w:rPr>
              <m:t>,i</m:t>
            </m:r>
            <m:ctrlPr>
              <w:rPr>
                <w:rFonts w:ascii="Cambria Math" w:hAnsi="Cambria Math"/>
                <w:i/>
                <w:highlight w:val="none"/>
              </w:rPr>
            </m:ctrlPr>
          </m:sub>
        </m:sSub>
        <m:r>
          <m:rPr/>
          <w:rPr>
            <w:rFonts w:ascii="Cambria Math" w:hAnsi="Cambria Math"/>
            <w:highlight w:val="none"/>
          </w:rPr>
          <m:t>=</m:t>
        </m:r>
        <m:nary>
          <m:naryPr>
            <m:chr m:val="∑"/>
            <m:subHide m:val="1"/>
            <m:supHide m:val="1"/>
            <m:ctrlPr>
              <w:rPr>
                <w:rFonts w:ascii="Cambria Math" w:hAnsi="Cambria Math"/>
                <w:i/>
                <w:highlight w:val="none"/>
              </w:rPr>
            </m:ctrlPr>
          </m:naryPr>
          <m:sub>
            <m:ctrlPr>
              <w:rPr>
                <w:rFonts w:ascii="Cambria Math" w:hAnsi="Cambria Math"/>
                <w:i/>
                <w:highlight w:val="none"/>
              </w:rPr>
            </m:ctrlPr>
          </m:sub>
          <m:sup>
            <m:ctrlPr>
              <w:rPr>
                <w:rFonts w:ascii="Cambria Math" w:hAnsi="Cambria Math"/>
                <w:i/>
                <w:highlight w:val="none"/>
              </w:rPr>
            </m:ctrlPr>
          </m:sup>
          <m:e>
            <m:d>
              <m:dPr>
                <m:ctrlPr>
                  <w:rPr>
                    <w:rFonts w:ascii="Cambria Math" w:hAnsi="Cambria Math"/>
                    <w:i/>
                    <w:highlight w:val="none"/>
                  </w:rPr>
                </m:ctrlPr>
              </m:dPr>
              <m:e>
                <m:sSub>
                  <m:sSubPr>
                    <m:ctrlPr>
                      <w:rPr>
                        <w:rFonts w:ascii="Cambria Math" w:hAnsi="Cambria Math"/>
                        <w:i/>
                        <w:highlight w:val="none"/>
                      </w:rPr>
                    </m:ctrlPr>
                  </m:sSubPr>
                  <m:e>
                    <m:r>
                      <m:rPr/>
                      <w:rPr>
                        <w:rFonts w:ascii="Cambria Math" w:hAnsi="Cambria Math"/>
                        <w:highlight w:val="none"/>
                      </w:rPr>
                      <m:t>M</m:t>
                    </m:r>
                    <m:ctrlPr>
                      <w:rPr>
                        <w:rFonts w:ascii="Cambria Math" w:hAnsi="Cambria Math"/>
                        <w:i/>
                        <w:highlight w:val="none"/>
                      </w:rPr>
                    </m:ctrlPr>
                  </m:e>
                  <m:sub>
                    <m:r>
                      <m:rPr>
                        <m:nor/>
                      </m:rPr>
                      <w:rPr>
                        <w:rFonts w:hint="default" w:ascii="Cambria Math" w:hAnsi="Cambria Math"/>
                        <w:i/>
                        <w:highlight w:val="none"/>
                        <w:lang w:val="en-US" w:eastAsia="zh-CN"/>
                      </w:rPr>
                      <m:t>D,</m:t>
                    </m:r>
                    <m:r>
                      <m:rPr>
                        <m:nor/>
                      </m:rPr>
                      <w:rPr>
                        <w:rFonts w:ascii="Cambria Math" w:hAnsi="Cambria Math"/>
                        <w:i/>
                        <w:highlight w:val="none"/>
                      </w:rPr>
                      <m:t>j</m:t>
                    </m:r>
                    <m:ctrlPr>
                      <w:rPr>
                        <w:rFonts w:ascii="Cambria Math" w:hAnsi="Cambria Math"/>
                        <w:i/>
                        <w:highlight w:val="none"/>
                      </w:rPr>
                    </m:ctrlPr>
                  </m:sub>
                </m:sSub>
                <m:r>
                  <m:rPr/>
                  <w:rPr>
                    <w:rFonts w:ascii="Cambria Math" w:hAnsi="Cambria Math"/>
                    <w:highlight w:val="none"/>
                  </w:rPr>
                  <m:t>×CE</m:t>
                </m:r>
                <m:sSub>
                  <m:sSubPr>
                    <m:ctrlPr>
                      <w:rPr>
                        <w:rFonts w:ascii="Cambria Math" w:hAnsi="Cambria Math"/>
                        <w:i/>
                        <w:highlight w:val="none"/>
                      </w:rPr>
                    </m:ctrlPr>
                  </m:sSubPr>
                  <m:e>
                    <m:r>
                      <m:rPr/>
                      <w:rPr>
                        <w:rFonts w:ascii="Cambria Math" w:hAnsi="Cambria Math"/>
                        <w:highlight w:val="none"/>
                      </w:rPr>
                      <m:t>F</m:t>
                    </m:r>
                    <m:ctrlPr>
                      <w:rPr>
                        <w:rFonts w:ascii="Cambria Math" w:hAnsi="Cambria Math"/>
                        <w:i/>
                        <w:highlight w:val="none"/>
                      </w:rPr>
                    </m:ctrlPr>
                  </m:e>
                  <m:sub>
                    <m:r>
                      <m:rPr>
                        <m:nor/>
                      </m:rPr>
                      <w:rPr>
                        <w:rFonts w:hint="default" w:ascii="Cambria Math" w:hAnsi="Cambria Math"/>
                        <w:i/>
                        <w:highlight w:val="none"/>
                        <w:lang w:val="en-US" w:eastAsia="zh-CN"/>
                      </w:rPr>
                      <m:t>D,</m:t>
                    </m:r>
                    <m:r>
                      <m:rPr>
                        <m:nor/>
                      </m:rPr>
                      <w:rPr>
                        <w:rFonts w:ascii="Cambria Math" w:hAnsi="Cambria Math"/>
                        <w:i/>
                        <w:highlight w:val="none"/>
                      </w:rPr>
                      <m:t>i,j</m:t>
                    </m:r>
                    <m:ctrlPr>
                      <w:rPr>
                        <w:rFonts w:ascii="Cambria Math" w:hAnsi="Cambria Math"/>
                        <w:i/>
                        <w:highlight w:val="none"/>
                      </w:rPr>
                    </m:ctrlPr>
                  </m:sub>
                </m:sSub>
                <m:ctrlPr>
                  <w:rPr>
                    <w:rFonts w:ascii="Cambria Math" w:hAnsi="Cambria Math"/>
                    <w:i/>
                    <w:highlight w:val="none"/>
                  </w:rPr>
                </m:ctrlPr>
              </m:e>
            </m:d>
            <m:ctrlPr>
              <w:rPr>
                <w:rFonts w:ascii="Cambria Math" w:hAnsi="Cambria Math"/>
                <w:i/>
                <w:highlight w:val="none"/>
              </w:rPr>
            </m:ctrlPr>
          </m:e>
        </m:nary>
      </m:oMath>
      <w:r>
        <w:rPr>
          <w:rFonts w:ascii="Times New Roman"/>
          <w:highlight w:val="none"/>
        </w:rPr>
        <w:t>+</w:t>
      </w:r>
      <m:oMath>
        <m:nary>
          <m:naryPr>
            <m:chr m:val="∑"/>
            <m:subHide m:val="1"/>
            <m:supHide m:val="1"/>
            <m:ctrlPr>
              <w:rPr>
                <w:rFonts w:ascii="Cambria Math" w:hAnsi="Cambria Math"/>
                <w:i/>
                <w:highlight w:val="none"/>
              </w:rPr>
            </m:ctrlPr>
          </m:naryPr>
          <m:sub>
            <m:ctrlPr>
              <w:rPr>
                <w:rFonts w:ascii="Cambria Math" w:hAnsi="Cambria Math"/>
                <w:i/>
                <w:highlight w:val="none"/>
              </w:rPr>
            </m:ctrlPr>
          </m:sub>
          <m:sup>
            <m:ctrlPr>
              <w:rPr>
                <w:rFonts w:ascii="Cambria Math" w:hAnsi="Cambria Math"/>
                <w:i/>
                <w:highlight w:val="none"/>
              </w:rPr>
            </m:ctrlPr>
          </m:sup>
          <m:e>
            <m:d>
              <m:dPr>
                <m:ctrlPr>
                  <w:rPr>
                    <w:rFonts w:ascii="Cambria Math" w:hAnsi="Cambria Math"/>
                    <w:i/>
                    <w:highlight w:val="none"/>
                  </w:rPr>
                </m:ctrlPr>
              </m:dPr>
              <m:e>
                <m:sSub>
                  <m:sSubPr>
                    <m:ctrlPr>
                      <w:rPr>
                        <w:rFonts w:ascii="Cambria Math" w:hAnsi="Cambria Math"/>
                        <w:i/>
                        <w:highlight w:val="none"/>
                      </w:rPr>
                    </m:ctrlPr>
                  </m:sSubPr>
                  <m:e>
                    <m:r>
                      <m:rPr/>
                      <w:rPr>
                        <w:rFonts w:ascii="Cambria Math" w:hAnsi="Cambria Math"/>
                        <w:highlight w:val="none"/>
                      </w:rPr>
                      <m:t>M</m:t>
                    </m:r>
                    <m:ctrlPr>
                      <w:rPr>
                        <w:rFonts w:ascii="Cambria Math" w:hAnsi="Cambria Math"/>
                        <w:i/>
                        <w:highlight w:val="none"/>
                      </w:rPr>
                    </m:ctrlPr>
                  </m:e>
                  <m:sub>
                    <m:r>
                      <m:rPr>
                        <m:nor/>
                      </m:rPr>
                      <w:rPr>
                        <w:rFonts w:hint="default" w:ascii="Cambria Math" w:hAnsi="Cambria Math"/>
                        <w:i/>
                        <w:highlight w:val="none"/>
                        <w:lang w:val="en-US" w:eastAsia="zh-CN"/>
                      </w:rPr>
                      <m:t>D,</m:t>
                    </m:r>
                    <m:r>
                      <m:rPr>
                        <m:nor/>
                      </m:rPr>
                      <w:rPr>
                        <w:rFonts w:ascii="Cambria Math" w:hAnsi="Cambria Math"/>
                        <w:i/>
                        <w:highlight w:val="none"/>
                      </w:rPr>
                      <m:t>j</m:t>
                    </m:r>
                    <m:r>
                      <m:rPr>
                        <m:nor/>
                      </m:rPr>
                      <w:rPr>
                        <w:rFonts w:hint="default" w:ascii="Cambria Math" w:hAnsi="Cambria Math"/>
                        <w:i/>
                        <w:highlight w:val="none"/>
                        <w:lang w:val="en-US" w:eastAsia="zh-CN"/>
                      </w:rPr>
                      <m:t>,k</m:t>
                    </m:r>
                    <m:ctrlPr>
                      <w:rPr>
                        <w:rFonts w:ascii="Cambria Math" w:hAnsi="Cambria Math"/>
                        <w:i/>
                        <w:highlight w:val="none"/>
                      </w:rPr>
                    </m:ctrlPr>
                  </m:sub>
                </m:sSub>
                <m:r>
                  <m:rPr/>
                  <w:rPr>
                    <w:rFonts w:ascii="Cambria Math" w:hAnsi="Cambria Math"/>
                    <w:highlight w:val="none"/>
                  </w:rPr>
                  <m:t>×</m:t>
                </m:r>
                <m:sSub>
                  <m:sSubPr>
                    <m:ctrlPr>
                      <w:rPr>
                        <w:rFonts w:ascii="Cambria Math" w:hAnsi="Cambria Math"/>
                        <w:i/>
                        <w:iCs w:val="0"/>
                        <w:highlight w:val="none"/>
                      </w:rPr>
                    </m:ctrlPr>
                  </m:sSubPr>
                  <m:e>
                    <m:r>
                      <m:rPr/>
                      <w:rPr>
                        <w:rFonts w:hint="default" w:ascii="Cambria Math" w:hAnsi="Cambria Math"/>
                        <w:highlight w:val="none"/>
                      </w:rPr>
                      <m:t>D</m:t>
                    </m:r>
                    <m:ctrlPr>
                      <w:rPr>
                        <w:rFonts w:ascii="Cambria Math" w:hAnsi="Cambria Math"/>
                        <w:i/>
                        <w:iCs w:val="0"/>
                        <w:highlight w:val="none"/>
                      </w:rPr>
                    </m:ctrlPr>
                  </m:e>
                  <m:sub>
                    <m:r>
                      <m:rPr/>
                      <w:rPr>
                        <w:rFonts w:hint="default" w:ascii="Cambria Math" w:hAnsi="Cambria Math"/>
                        <w:highlight w:val="none"/>
                        <w:lang w:val="en-US" w:eastAsia="zh-CN"/>
                      </w:rPr>
                      <m:t>D,</m:t>
                    </m:r>
                    <m:r>
                      <m:rPr/>
                      <w:rPr>
                        <w:rFonts w:hint="default" w:ascii="Cambria Math" w:hAnsi="Cambria Math"/>
                        <w:highlight w:val="none"/>
                      </w:rPr>
                      <m:t>j,k</m:t>
                    </m:r>
                    <m:ctrlPr>
                      <w:rPr>
                        <w:rFonts w:ascii="Cambria Math" w:hAnsi="Cambria Math"/>
                        <w:i/>
                        <w:iCs w:val="0"/>
                        <w:highlight w:val="none"/>
                      </w:rPr>
                    </m:ctrlPr>
                  </m:sub>
                </m:sSub>
                <m:r>
                  <m:rPr/>
                  <w:rPr>
                    <w:rFonts w:ascii="Cambria Math" w:hAnsi="Cambria Math"/>
                    <w:highlight w:val="none"/>
                  </w:rPr>
                  <m:t>×TE</m:t>
                </m:r>
                <m:sSub>
                  <m:sSubPr>
                    <m:ctrlPr>
                      <w:rPr>
                        <w:rFonts w:ascii="Cambria Math" w:hAnsi="Cambria Math"/>
                        <w:i/>
                        <w:highlight w:val="none"/>
                      </w:rPr>
                    </m:ctrlPr>
                  </m:sSubPr>
                  <m:e>
                    <m:r>
                      <m:rPr/>
                      <w:rPr>
                        <w:rFonts w:ascii="Cambria Math" w:hAnsi="Cambria Math"/>
                        <w:highlight w:val="none"/>
                      </w:rPr>
                      <m:t>F</m:t>
                    </m:r>
                    <m:ctrlPr>
                      <w:rPr>
                        <w:rFonts w:ascii="Cambria Math" w:hAnsi="Cambria Math"/>
                        <w:i/>
                        <w:highlight w:val="none"/>
                      </w:rPr>
                    </m:ctrlPr>
                  </m:e>
                  <m:sub>
                    <m:r>
                      <m:rPr>
                        <m:nor/>
                      </m:rPr>
                      <w:rPr>
                        <w:rFonts w:ascii="Cambria Math" w:hAnsi="Cambria Math"/>
                        <w:i/>
                        <w:highlight w:val="none"/>
                      </w:rPr>
                      <m:t>i,k</m:t>
                    </m:r>
                    <m:ctrlPr>
                      <w:rPr>
                        <w:rFonts w:ascii="Cambria Math" w:hAnsi="Cambria Math"/>
                        <w:i/>
                        <w:highlight w:val="none"/>
                      </w:rPr>
                    </m:ctrlPr>
                  </m:sub>
                </m:sSub>
                <m:ctrlPr>
                  <w:rPr>
                    <w:rFonts w:ascii="Cambria Math" w:hAnsi="Cambria Math"/>
                    <w:i/>
                    <w:highlight w:val="none"/>
                  </w:rPr>
                </m:ctrlPr>
              </m:e>
            </m:d>
            <m:ctrlPr>
              <w:rPr>
                <w:rFonts w:ascii="Cambria Math" w:hAnsi="Cambria Math"/>
                <w:i/>
                <w:highlight w:val="none"/>
              </w:rPr>
            </m:ctrlPr>
          </m:e>
        </m:nary>
      </m:oMath>
      <w:r>
        <w:rPr>
          <w:rFonts w:ascii="Times New Roman"/>
          <w:highlight w:val="none"/>
        </w:rPr>
        <w:t>……             ……（</w:t>
      </w:r>
      <w:r>
        <w:rPr>
          <w:rFonts w:hint="eastAsia" w:ascii="Times New Roman"/>
          <w:highlight w:val="none"/>
          <w:lang w:val="en-US" w:eastAsia="zh-CN"/>
        </w:rPr>
        <w:t>6</w:t>
      </w:r>
      <w:r>
        <w:rPr>
          <w:rFonts w:ascii="Times New Roman"/>
          <w:highlight w:val="none"/>
        </w:rPr>
        <w:t>）</w:t>
      </w:r>
    </w:p>
    <w:p w14:paraId="636BCF18">
      <w:pPr>
        <w:spacing w:line="276" w:lineRule="auto"/>
        <w:ind w:firstLine="420" w:firstLineChars="200"/>
        <w:rPr>
          <w:highlight w:val="none"/>
        </w:rPr>
      </w:pPr>
      <w:r>
        <w:rPr>
          <w:highlight w:val="none"/>
        </w:rPr>
        <w:t>式中：</w:t>
      </w:r>
    </w:p>
    <w:tbl>
      <w:tblPr>
        <w:tblStyle w:val="3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076"/>
        <w:gridCol w:w="687"/>
        <w:gridCol w:w="8204"/>
      </w:tblGrid>
      <w:tr w14:paraId="424F8A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170" w:hRule="atLeast"/>
        </w:trPr>
        <w:tc>
          <w:tcPr>
            <w:tcW w:w="1076" w:type="dxa"/>
          </w:tcPr>
          <w:p w14:paraId="16528FBC">
            <w:pPr>
              <w:pStyle w:val="27"/>
              <w:spacing w:line="276" w:lineRule="auto"/>
              <w:jc w:val="right"/>
              <w:rPr>
                <w:rFonts w:ascii="Times New Roman"/>
                <w:i/>
                <w:iCs/>
                <w:szCs w:val="18"/>
                <w:highlight w:val="none"/>
              </w:rPr>
            </w:pPr>
            <m:oMathPara>
              <m:oMath>
                <m:sSub>
                  <m:sSubPr>
                    <m:ctrlPr>
                      <w:rPr>
                        <w:rFonts w:ascii="Cambria Math" w:hAnsi="Cambria Math"/>
                        <w:i/>
                        <w:szCs w:val="18"/>
                        <w:highlight w:val="none"/>
                      </w:rPr>
                    </m:ctrlPr>
                  </m:sSubPr>
                  <m:e>
                    <m:r>
                      <m:rPr/>
                      <w:rPr>
                        <w:rFonts w:ascii="Cambria Math" w:hAnsi="Cambria Math"/>
                        <w:szCs w:val="18"/>
                        <w:highlight w:val="none"/>
                      </w:rPr>
                      <m:t>M</m:t>
                    </m:r>
                    <m:ctrlPr>
                      <w:rPr>
                        <w:rFonts w:ascii="Cambria Math" w:hAnsi="Cambria Math"/>
                        <w:i/>
                        <w:szCs w:val="18"/>
                        <w:highlight w:val="none"/>
                      </w:rPr>
                    </m:ctrlPr>
                  </m:e>
                  <m:sub>
                    <m:r>
                      <m:rPr>
                        <m:nor/>
                      </m:rPr>
                      <w:rPr>
                        <w:rFonts w:hint="default" w:ascii="Cambria Math" w:hAnsi="Cambria Math"/>
                        <w:i/>
                        <w:szCs w:val="18"/>
                        <w:highlight w:val="none"/>
                        <w:lang w:val="en-US" w:eastAsia="zh-CN"/>
                      </w:rPr>
                      <m:t>D,</m:t>
                    </m:r>
                    <m:r>
                      <m:rPr>
                        <m:nor/>
                      </m:rPr>
                      <w:rPr>
                        <w:rFonts w:ascii="Cambria Math" w:hAnsi="Cambria Math"/>
                        <w:i/>
                        <w:szCs w:val="18"/>
                        <w:highlight w:val="none"/>
                      </w:rPr>
                      <m:t>j</m:t>
                    </m:r>
                    <m:ctrlPr>
                      <w:rPr>
                        <w:rFonts w:ascii="Cambria Math" w:hAnsi="Cambria Math"/>
                        <w:i/>
                        <w:szCs w:val="18"/>
                        <w:highlight w:val="none"/>
                      </w:rPr>
                    </m:ctrlPr>
                  </m:sub>
                </m:sSub>
              </m:oMath>
            </m:oMathPara>
          </w:p>
        </w:tc>
        <w:tc>
          <w:tcPr>
            <w:tcW w:w="687" w:type="dxa"/>
          </w:tcPr>
          <w:p w14:paraId="7A52A9DE">
            <w:pPr>
              <w:pStyle w:val="27"/>
              <w:spacing w:line="276" w:lineRule="auto"/>
              <w:ind w:firstLine="0" w:firstLineChars="0"/>
              <w:rPr>
                <w:rFonts w:ascii="Times New Roman"/>
                <w:szCs w:val="21"/>
                <w:highlight w:val="none"/>
              </w:rPr>
            </w:pPr>
            <w:r>
              <w:rPr>
                <w:rFonts w:ascii="Times New Roman"/>
                <w:szCs w:val="21"/>
                <w:highlight w:val="none"/>
              </w:rPr>
              <w:t>——</w:t>
            </w:r>
          </w:p>
        </w:tc>
        <w:tc>
          <w:tcPr>
            <w:tcW w:w="8204" w:type="dxa"/>
          </w:tcPr>
          <w:p w14:paraId="6A31F129">
            <w:pPr>
              <w:pStyle w:val="27"/>
              <w:spacing w:line="276" w:lineRule="auto"/>
              <w:ind w:firstLine="0" w:firstLineChars="0"/>
              <w:rPr>
                <w:rFonts w:ascii="Times New Roman"/>
                <w:szCs w:val="21"/>
                <w:highlight w:val="none"/>
              </w:rPr>
            </w:pPr>
            <w:r>
              <w:rPr>
                <w:rFonts w:ascii="Times New Roman"/>
                <w:szCs w:val="21"/>
                <w:highlight w:val="none"/>
              </w:rPr>
              <w:t>每功能单位（</w:t>
            </w:r>
            <w:r>
              <w:rPr>
                <w:rFonts w:hint="eastAsia" w:ascii="Times New Roman"/>
                <w:szCs w:val="21"/>
                <w:highlight w:val="none"/>
              </w:rPr>
              <w:t>声明单位</w:t>
            </w:r>
            <w:r>
              <w:rPr>
                <w:rFonts w:ascii="Times New Roman"/>
                <w:szCs w:val="21"/>
                <w:highlight w:val="none"/>
              </w:rPr>
              <w:t>）</w:t>
            </w:r>
            <w:r>
              <w:rPr>
                <w:rFonts w:ascii="Times New Roman" w:eastAsia="宋体"/>
                <w:szCs w:val="18"/>
                <w:highlight w:val="none"/>
              </w:rPr>
              <w:t>安装和使用阶段</w:t>
            </w:r>
            <w:r>
              <w:rPr>
                <w:rFonts w:hint="default" w:ascii="Times New Roman"/>
                <w:szCs w:val="18"/>
                <w:highlight w:val="none"/>
                <w:lang w:val="en-US"/>
              </w:rPr>
              <w:t>第</w:t>
            </w:r>
            <w:r>
              <w:rPr>
                <w:rFonts w:hint="default" w:ascii="Times New Roman"/>
                <w:i/>
                <w:iCs/>
                <w:szCs w:val="21"/>
                <w:highlight w:val="none"/>
                <w:lang w:val="en-US"/>
              </w:rPr>
              <w:t>j</w:t>
            </w:r>
            <w:r>
              <w:rPr>
                <w:rFonts w:hint="default" w:ascii="Times New Roman"/>
                <w:szCs w:val="18"/>
                <w:highlight w:val="none"/>
                <w:lang w:val="en-US"/>
              </w:rPr>
              <w:t>种</w:t>
            </w:r>
            <w:r>
              <w:rPr>
                <w:rFonts w:hint="eastAsia" w:ascii="Times New Roman"/>
                <w:szCs w:val="18"/>
                <w:highlight w:val="none"/>
                <w:lang w:val="en-US" w:eastAsia="zh-CN"/>
              </w:rPr>
              <w:t>能源和物料</w:t>
            </w:r>
            <w:r>
              <w:rPr>
                <w:rFonts w:ascii="Times New Roman"/>
                <w:szCs w:val="18"/>
                <w:highlight w:val="none"/>
              </w:rPr>
              <w:t>的消耗量，单位视</w:t>
            </w:r>
            <w:r>
              <w:rPr>
                <w:rFonts w:hint="eastAsia" w:ascii="Times New Roman"/>
                <w:szCs w:val="18"/>
                <w:highlight w:val="none"/>
                <w:lang w:val="en-US" w:eastAsia="zh-CN"/>
              </w:rPr>
              <w:t>能源和物料</w:t>
            </w:r>
            <w:r>
              <w:rPr>
                <w:rFonts w:ascii="Times New Roman"/>
                <w:szCs w:val="18"/>
                <w:highlight w:val="none"/>
              </w:rPr>
              <w:t>种类而定；</w:t>
            </w:r>
          </w:p>
        </w:tc>
      </w:tr>
      <w:tr w14:paraId="2A29D7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1076" w:type="dxa"/>
          </w:tcPr>
          <w:p w14:paraId="6E944AA9">
            <w:pPr>
              <w:pStyle w:val="27"/>
              <w:spacing w:line="276" w:lineRule="auto"/>
              <w:jc w:val="right"/>
              <w:rPr>
                <w:rFonts w:ascii="Times New Roman"/>
                <w:i/>
                <w:iCs/>
                <w:szCs w:val="18"/>
                <w:highlight w:val="none"/>
              </w:rPr>
            </w:pPr>
            <m:oMathPara>
              <m:oMath>
                <m:r>
                  <m:rPr/>
                  <w:rPr>
                    <w:rFonts w:ascii="Cambria Math" w:hAnsi="Cambria Math"/>
                    <w:szCs w:val="18"/>
                    <w:highlight w:val="none"/>
                  </w:rPr>
                  <m:t>CE</m:t>
                </m:r>
                <m:sSub>
                  <m:sSubPr>
                    <m:ctrlPr>
                      <w:rPr>
                        <w:rFonts w:ascii="Cambria Math" w:hAnsi="Cambria Math"/>
                        <w:i/>
                        <w:szCs w:val="18"/>
                        <w:highlight w:val="none"/>
                      </w:rPr>
                    </m:ctrlPr>
                  </m:sSubPr>
                  <m:e>
                    <m:r>
                      <m:rPr/>
                      <w:rPr>
                        <w:rFonts w:ascii="Cambria Math" w:hAnsi="Cambria Math"/>
                        <w:szCs w:val="18"/>
                        <w:highlight w:val="none"/>
                      </w:rPr>
                      <m:t>F</m:t>
                    </m:r>
                    <m:ctrlPr>
                      <w:rPr>
                        <w:rFonts w:ascii="Cambria Math" w:hAnsi="Cambria Math"/>
                        <w:i/>
                        <w:szCs w:val="18"/>
                        <w:highlight w:val="none"/>
                      </w:rPr>
                    </m:ctrlPr>
                  </m:e>
                  <m:sub>
                    <m:r>
                      <m:rPr>
                        <m:nor/>
                      </m:rPr>
                      <w:rPr>
                        <w:rFonts w:hint="default" w:ascii="Cambria Math" w:hAnsi="Cambria Math"/>
                        <w:i/>
                        <w:szCs w:val="18"/>
                        <w:highlight w:val="none"/>
                        <w:lang w:val="en-US" w:eastAsia="zh-CN"/>
                      </w:rPr>
                      <m:t>D,</m:t>
                    </m:r>
                    <m:r>
                      <m:rPr>
                        <m:nor/>
                      </m:rPr>
                      <w:rPr>
                        <w:rFonts w:ascii="Cambria Math" w:hAnsi="Cambria Math"/>
                        <w:i/>
                        <w:szCs w:val="18"/>
                        <w:highlight w:val="none"/>
                      </w:rPr>
                      <m:t>i,j</m:t>
                    </m:r>
                    <m:ctrlPr>
                      <w:rPr>
                        <w:rFonts w:ascii="Cambria Math" w:hAnsi="Cambria Math"/>
                        <w:i/>
                        <w:szCs w:val="18"/>
                        <w:highlight w:val="none"/>
                      </w:rPr>
                    </m:ctrlPr>
                  </m:sub>
                </m:sSub>
              </m:oMath>
            </m:oMathPara>
          </w:p>
        </w:tc>
        <w:tc>
          <w:tcPr>
            <w:tcW w:w="687" w:type="dxa"/>
          </w:tcPr>
          <w:p w14:paraId="7AA12249">
            <w:pPr>
              <w:pStyle w:val="27"/>
              <w:spacing w:line="276" w:lineRule="auto"/>
              <w:ind w:firstLine="0" w:firstLineChars="0"/>
              <w:rPr>
                <w:rFonts w:ascii="Times New Roman"/>
                <w:szCs w:val="21"/>
                <w:highlight w:val="none"/>
              </w:rPr>
            </w:pPr>
            <w:r>
              <w:rPr>
                <w:rFonts w:ascii="Times New Roman"/>
                <w:szCs w:val="21"/>
                <w:highlight w:val="none"/>
              </w:rPr>
              <w:t>——</w:t>
            </w:r>
          </w:p>
        </w:tc>
        <w:tc>
          <w:tcPr>
            <w:tcW w:w="8204" w:type="dxa"/>
          </w:tcPr>
          <w:p w14:paraId="5E98A98A">
            <w:pPr>
              <w:pStyle w:val="27"/>
              <w:spacing w:line="276" w:lineRule="auto"/>
              <w:ind w:firstLine="0" w:firstLineChars="0"/>
              <w:rPr>
                <w:rFonts w:ascii="Times New Roman"/>
                <w:szCs w:val="21"/>
                <w:highlight w:val="none"/>
              </w:rPr>
            </w:pPr>
            <w:r>
              <w:rPr>
                <w:rFonts w:ascii="Times New Roman"/>
                <w:szCs w:val="18"/>
                <w:highlight w:val="none"/>
              </w:rPr>
              <w:t>第</w:t>
            </w:r>
            <w:r>
              <w:rPr>
                <w:rFonts w:ascii="Times New Roman"/>
                <w:i/>
                <w:iCs/>
                <w:szCs w:val="21"/>
                <w:highlight w:val="none"/>
              </w:rPr>
              <w:t>j</w:t>
            </w:r>
            <w:r>
              <w:rPr>
                <w:rFonts w:ascii="Times New Roman"/>
                <w:szCs w:val="18"/>
                <w:highlight w:val="none"/>
              </w:rPr>
              <w:t>种</w:t>
            </w:r>
            <w:r>
              <w:rPr>
                <w:rFonts w:hint="eastAsia" w:ascii="Times New Roman"/>
                <w:szCs w:val="18"/>
                <w:highlight w:val="none"/>
                <w:lang w:val="en-US" w:eastAsia="zh-CN"/>
              </w:rPr>
              <w:t>能源和物料获取</w:t>
            </w:r>
            <w:r>
              <w:rPr>
                <w:rFonts w:ascii="Times New Roman"/>
                <w:szCs w:val="18"/>
                <w:highlight w:val="none"/>
              </w:rPr>
              <w:t>的第</w:t>
            </w:r>
            <w:r>
              <w:rPr>
                <w:rFonts w:ascii="Times New Roman"/>
                <w:i/>
                <w:iCs/>
                <w:szCs w:val="21"/>
                <w:highlight w:val="none"/>
              </w:rPr>
              <w:t>i</w:t>
            </w:r>
            <w:r>
              <w:rPr>
                <w:rFonts w:ascii="Times New Roman"/>
                <w:szCs w:val="18"/>
                <w:highlight w:val="none"/>
              </w:rPr>
              <w:t>种温室气体排放因子，单位视</w:t>
            </w:r>
            <w:r>
              <w:rPr>
                <w:rFonts w:hint="eastAsia" w:ascii="Times New Roman"/>
                <w:szCs w:val="18"/>
                <w:highlight w:val="none"/>
                <w:lang w:val="en-US" w:eastAsia="zh-CN"/>
              </w:rPr>
              <w:t>能源和物料</w:t>
            </w:r>
            <w:r>
              <w:rPr>
                <w:rFonts w:ascii="Times New Roman"/>
                <w:szCs w:val="18"/>
                <w:highlight w:val="none"/>
              </w:rPr>
              <w:t>种类而定；</w:t>
            </w:r>
          </w:p>
        </w:tc>
      </w:tr>
      <w:tr w14:paraId="59AE92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1076" w:type="dxa"/>
          </w:tcPr>
          <w:p w14:paraId="03752639">
            <w:pPr>
              <w:pStyle w:val="27"/>
              <w:spacing w:line="276" w:lineRule="auto"/>
              <w:jc w:val="right"/>
              <w:rPr>
                <w:rFonts w:hint="default" w:ascii="Times New Roman" w:eastAsia="宋体"/>
                <w:szCs w:val="18"/>
                <w:highlight w:val="none"/>
                <w:lang w:val="en-US" w:eastAsia="zh-CN"/>
              </w:rPr>
            </w:pPr>
            <w:r>
              <w:rPr>
                <w:rFonts w:ascii="Times New Roman"/>
                <w:i/>
                <w:iCs/>
                <w:szCs w:val="18"/>
                <w:highlight w:val="none"/>
              </w:rPr>
              <w:t>M</w:t>
            </w:r>
            <w:r>
              <w:rPr>
                <w:rFonts w:hint="eastAsia" w:ascii="Times New Roman"/>
                <w:i/>
                <w:iCs/>
                <w:szCs w:val="18"/>
                <w:highlight w:val="none"/>
                <w:vertAlign w:val="subscript"/>
                <w:lang w:val="en-US" w:eastAsia="zh-CN"/>
              </w:rPr>
              <w:t>D,</w:t>
            </w:r>
            <w:r>
              <w:rPr>
                <w:rFonts w:ascii="Times New Roman"/>
                <w:i/>
                <w:iCs/>
                <w:szCs w:val="18"/>
                <w:highlight w:val="none"/>
                <w:vertAlign w:val="subscript"/>
              </w:rPr>
              <w:t>j</w:t>
            </w:r>
            <w:r>
              <w:rPr>
                <w:rFonts w:hint="eastAsia" w:ascii="Times New Roman"/>
                <w:i/>
                <w:iCs/>
                <w:szCs w:val="18"/>
                <w:highlight w:val="none"/>
                <w:vertAlign w:val="subscript"/>
                <w:lang w:val="en-US" w:eastAsia="zh-CN"/>
              </w:rPr>
              <w:t>,k</w:t>
            </w:r>
          </w:p>
        </w:tc>
        <w:tc>
          <w:tcPr>
            <w:tcW w:w="687" w:type="dxa"/>
          </w:tcPr>
          <w:p w14:paraId="669905D0">
            <w:pPr>
              <w:pStyle w:val="27"/>
              <w:spacing w:line="276" w:lineRule="auto"/>
              <w:ind w:firstLine="0" w:firstLineChars="0"/>
              <w:rPr>
                <w:rFonts w:ascii="Times New Roman"/>
                <w:szCs w:val="18"/>
                <w:highlight w:val="none"/>
              </w:rPr>
            </w:pPr>
            <w:r>
              <w:rPr>
                <w:rFonts w:ascii="Times New Roman"/>
                <w:szCs w:val="21"/>
                <w:highlight w:val="none"/>
              </w:rPr>
              <w:t>——</w:t>
            </w:r>
          </w:p>
        </w:tc>
        <w:tc>
          <w:tcPr>
            <w:tcW w:w="8204" w:type="dxa"/>
          </w:tcPr>
          <w:p w14:paraId="11548E42">
            <w:pPr>
              <w:pStyle w:val="27"/>
              <w:spacing w:line="276" w:lineRule="auto"/>
              <w:ind w:firstLine="0" w:firstLineChars="0"/>
              <w:rPr>
                <w:rFonts w:ascii="Times New Roman"/>
                <w:szCs w:val="18"/>
                <w:highlight w:val="none"/>
              </w:rPr>
            </w:pPr>
            <w:r>
              <w:rPr>
                <w:rFonts w:ascii="Times New Roman"/>
                <w:szCs w:val="21"/>
                <w:highlight w:val="none"/>
              </w:rPr>
              <w:t>每功能单位（</w:t>
            </w:r>
            <w:r>
              <w:rPr>
                <w:rFonts w:hint="eastAsia" w:ascii="Times New Roman"/>
                <w:szCs w:val="21"/>
                <w:highlight w:val="none"/>
              </w:rPr>
              <w:t>声明单位</w:t>
            </w:r>
            <w:r>
              <w:rPr>
                <w:rFonts w:ascii="Times New Roman"/>
                <w:szCs w:val="21"/>
                <w:highlight w:val="none"/>
              </w:rPr>
              <w:t>）</w:t>
            </w:r>
            <w:r>
              <w:rPr>
                <w:rFonts w:hint="eastAsia" w:ascii="Times New Roman"/>
                <w:szCs w:val="21"/>
                <w:highlight w:val="none"/>
                <w:lang w:val="en-US" w:eastAsia="zh-CN"/>
              </w:rPr>
              <w:t>安装和使用阶段</w:t>
            </w:r>
            <w:r>
              <w:rPr>
                <w:rFonts w:ascii="Times New Roman"/>
                <w:szCs w:val="18"/>
                <w:highlight w:val="none"/>
              </w:rPr>
              <w:t>第</w:t>
            </w:r>
            <w:r>
              <w:rPr>
                <w:rFonts w:ascii="Times New Roman"/>
                <w:i/>
                <w:iCs/>
                <w:szCs w:val="21"/>
                <w:highlight w:val="none"/>
              </w:rPr>
              <w:t>j</w:t>
            </w:r>
            <w:r>
              <w:rPr>
                <w:rFonts w:ascii="Times New Roman"/>
                <w:szCs w:val="18"/>
                <w:highlight w:val="none"/>
              </w:rPr>
              <w:t>种</w:t>
            </w:r>
            <w:r>
              <w:rPr>
                <w:rFonts w:hint="eastAsia" w:ascii="Times New Roman"/>
                <w:szCs w:val="18"/>
                <w:highlight w:val="none"/>
                <w:lang w:val="en-US" w:eastAsia="zh-CN"/>
              </w:rPr>
              <w:t>燃料和物料</w:t>
            </w:r>
            <w:r>
              <w:rPr>
                <w:rFonts w:hint="eastAsia" w:ascii="Times New Roman"/>
                <w:szCs w:val="21"/>
                <w:highlight w:val="none"/>
                <w:lang w:val="en-US" w:eastAsia="zh-CN"/>
              </w:rPr>
              <w:t>第</w:t>
            </w:r>
            <w:r>
              <w:rPr>
                <w:rFonts w:ascii="Times New Roman"/>
                <w:i/>
                <w:iCs/>
                <w:szCs w:val="21"/>
                <w:highlight w:val="none"/>
              </w:rPr>
              <w:t>k</w:t>
            </w:r>
            <w:r>
              <w:rPr>
                <w:rFonts w:ascii="Times New Roman"/>
                <w:szCs w:val="18"/>
                <w:highlight w:val="none"/>
              </w:rPr>
              <w:t>种运输方式的</w:t>
            </w:r>
            <w:r>
              <w:rPr>
                <w:rFonts w:hint="eastAsia" w:ascii="Times New Roman"/>
                <w:szCs w:val="18"/>
                <w:highlight w:val="none"/>
                <w:lang w:val="en-US" w:eastAsia="zh-CN"/>
              </w:rPr>
              <w:t>运输</w:t>
            </w:r>
            <w:r>
              <w:rPr>
                <w:rFonts w:ascii="Times New Roman"/>
                <w:szCs w:val="18"/>
                <w:highlight w:val="none"/>
              </w:rPr>
              <w:t>量，单位视</w:t>
            </w:r>
            <w:r>
              <w:rPr>
                <w:rFonts w:hint="eastAsia" w:ascii="Times New Roman"/>
                <w:szCs w:val="18"/>
                <w:highlight w:val="none"/>
                <w:lang w:val="en-US" w:eastAsia="zh-CN"/>
              </w:rPr>
              <w:t>能源和物料</w:t>
            </w:r>
            <w:r>
              <w:rPr>
                <w:rFonts w:ascii="Times New Roman"/>
                <w:szCs w:val="18"/>
                <w:highlight w:val="none"/>
              </w:rPr>
              <w:t>种类而定；</w:t>
            </w:r>
          </w:p>
        </w:tc>
      </w:tr>
      <w:tr w14:paraId="5B09E9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1076" w:type="dxa"/>
          </w:tcPr>
          <w:p w14:paraId="127F7A39">
            <w:pPr>
              <w:pStyle w:val="27"/>
              <w:spacing w:line="276" w:lineRule="auto"/>
              <w:ind w:firstLine="0" w:firstLineChars="0"/>
              <w:jc w:val="right"/>
              <w:rPr>
                <w:rFonts w:ascii="Times New Roman"/>
                <w:szCs w:val="18"/>
                <w:highlight w:val="none"/>
              </w:rPr>
            </w:pPr>
            <w:r>
              <w:rPr>
                <w:rFonts w:ascii="Times New Roman"/>
                <w:i/>
                <w:szCs w:val="18"/>
                <w:highlight w:val="none"/>
              </w:rPr>
              <w:t>D</w:t>
            </w:r>
            <w:r>
              <w:rPr>
                <w:rFonts w:hint="eastAsia" w:ascii="Times New Roman"/>
                <w:i/>
                <w:szCs w:val="18"/>
                <w:highlight w:val="none"/>
                <w:vertAlign w:val="subscript"/>
                <w:lang w:val="en-US" w:eastAsia="zh-CN"/>
              </w:rPr>
              <w:t>D,</w:t>
            </w:r>
            <w:r>
              <w:rPr>
                <w:rFonts w:ascii="Times New Roman"/>
                <w:i/>
                <w:szCs w:val="18"/>
                <w:highlight w:val="none"/>
                <w:vertAlign w:val="subscript"/>
              </w:rPr>
              <w:t>j,k</w:t>
            </w:r>
          </w:p>
        </w:tc>
        <w:tc>
          <w:tcPr>
            <w:tcW w:w="687" w:type="dxa"/>
          </w:tcPr>
          <w:p w14:paraId="36680A35">
            <w:pPr>
              <w:pStyle w:val="27"/>
              <w:spacing w:line="276" w:lineRule="auto"/>
              <w:ind w:firstLine="0" w:firstLineChars="0"/>
              <w:rPr>
                <w:rFonts w:ascii="Times New Roman"/>
                <w:szCs w:val="18"/>
                <w:highlight w:val="none"/>
              </w:rPr>
            </w:pPr>
            <w:r>
              <w:rPr>
                <w:rFonts w:ascii="Times New Roman"/>
                <w:szCs w:val="21"/>
                <w:highlight w:val="none"/>
              </w:rPr>
              <w:t>——</w:t>
            </w:r>
          </w:p>
        </w:tc>
        <w:tc>
          <w:tcPr>
            <w:tcW w:w="8204" w:type="dxa"/>
          </w:tcPr>
          <w:p w14:paraId="7D064396">
            <w:pPr>
              <w:pStyle w:val="27"/>
              <w:spacing w:line="276" w:lineRule="auto"/>
              <w:ind w:firstLine="0" w:firstLineChars="0"/>
              <w:rPr>
                <w:rFonts w:hint="eastAsia" w:ascii="Times New Roman" w:eastAsia="宋体"/>
                <w:szCs w:val="18"/>
                <w:highlight w:val="none"/>
                <w:lang w:val="en-US" w:eastAsia="zh-CN"/>
              </w:rPr>
            </w:pPr>
            <w:r>
              <w:rPr>
                <w:rFonts w:ascii="Times New Roman"/>
                <w:iCs/>
                <w:szCs w:val="18"/>
                <w:highlight w:val="none"/>
              </w:rPr>
              <w:t>第</w:t>
            </w:r>
            <w:r>
              <w:rPr>
                <w:rFonts w:ascii="Times New Roman"/>
                <w:i/>
                <w:iCs/>
                <w:szCs w:val="21"/>
                <w:highlight w:val="none"/>
              </w:rPr>
              <w:t>j</w:t>
            </w:r>
            <w:r>
              <w:rPr>
                <w:rFonts w:ascii="Times New Roman"/>
                <w:iCs/>
                <w:szCs w:val="18"/>
                <w:highlight w:val="none"/>
              </w:rPr>
              <w:t>种</w:t>
            </w:r>
            <w:r>
              <w:rPr>
                <w:rFonts w:hint="eastAsia" w:ascii="Times New Roman"/>
                <w:szCs w:val="18"/>
                <w:highlight w:val="none"/>
                <w:lang w:val="en-US" w:eastAsia="zh-CN"/>
              </w:rPr>
              <w:t>能源和物料</w:t>
            </w:r>
            <w:r>
              <w:rPr>
                <w:rFonts w:ascii="Times New Roman"/>
                <w:szCs w:val="18"/>
                <w:highlight w:val="none"/>
              </w:rPr>
              <w:t>第</w:t>
            </w:r>
            <w:r>
              <w:rPr>
                <w:rFonts w:ascii="Times New Roman"/>
                <w:i/>
                <w:iCs/>
                <w:szCs w:val="21"/>
                <w:highlight w:val="none"/>
              </w:rPr>
              <w:t>k</w:t>
            </w:r>
            <w:r>
              <w:rPr>
                <w:rFonts w:ascii="Times New Roman"/>
                <w:szCs w:val="18"/>
                <w:highlight w:val="none"/>
              </w:rPr>
              <w:t>种运输方式的运输距离，单位为千米（km）</w:t>
            </w:r>
            <w:r>
              <w:rPr>
                <w:rFonts w:hint="eastAsia" w:ascii="Times New Roman"/>
                <w:szCs w:val="18"/>
                <w:highlight w:val="none"/>
                <w:lang w:eastAsia="zh-CN"/>
              </w:rPr>
              <w:t>。</w:t>
            </w:r>
          </w:p>
        </w:tc>
      </w:tr>
    </w:tbl>
    <w:p w14:paraId="75DC2085">
      <w:pPr>
        <w:pStyle w:val="47"/>
        <w:numPr>
          <w:ilvl w:val="2"/>
          <w:numId w:val="11"/>
        </w:numPr>
        <w:adjustRightInd w:val="0"/>
        <w:snapToGrid w:val="0"/>
        <w:spacing w:beforeLines="0" w:afterLines="0" w:line="360" w:lineRule="exact"/>
        <w:ind w:left="0" w:firstLine="0"/>
        <w:jc w:val="both"/>
        <w:outlineLvl w:val="9"/>
        <w:rPr>
          <w:rFonts w:ascii="Times New Roman" w:eastAsia="宋体"/>
        </w:rPr>
      </w:pPr>
      <w:r>
        <w:rPr>
          <w:rFonts w:ascii="Times New Roman" w:eastAsia="宋体"/>
        </w:rPr>
        <w:t>生命末期阶段</w:t>
      </w:r>
      <w:r>
        <w:rPr>
          <w:rFonts w:hint="default" w:ascii="Times New Roman" w:eastAsia="宋体"/>
          <w:lang w:eastAsia="zh-CN"/>
        </w:rPr>
        <w:t>（</w:t>
      </w:r>
      <w:r>
        <w:rPr>
          <w:rFonts w:hint="default" w:ascii="Times New Roman" w:eastAsia="宋体"/>
          <w:lang w:val="en-US" w:eastAsia="zh-CN"/>
        </w:rPr>
        <w:t>E</w:t>
      </w:r>
      <w:r>
        <w:rPr>
          <w:rFonts w:hint="default" w:ascii="Times New Roman" w:eastAsia="宋体"/>
          <w:lang w:eastAsia="zh-CN"/>
        </w:rPr>
        <w:t>）</w:t>
      </w:r>
    </w:p>
    <w:p w14:paraId="11B6D82F">
      <w:pPr>
        <w:pStyle w:val="27"/>
        <w:spacing w:line="276" w:lineRule="auto"/>
        <w:jc w:val="both"/>
        <w:rPr>
          <w:rFonts w:ascii="Times New Roman"/>
          <w:highlight w:val="none"/>
        </w:rPr>
      </w:pPr>
      <w:r>
        <w:rPr>
          <w:rFonts w:ascii="Times New Roman"/>
          <w:highlight w:val="none"/>
        </w:rPr>
        <w:t>产品生命末期包括</w:t>
      </w:r>
      <w:r>
        <w:rPr>
          <w:rFonts w:hint="eastAsia" w:ascii="Times New Roman"/>
          <w:highlight w:val="none"/>
          <w:lang w:val="en-US" w:eastAsia="zh-CN"/>
        </w:rPr>
        <w:t>拆除后以</w:t>
      </w:r>
      <w:r>
        <w:rPr>
          <w:rFonts w:ascii="Times New Roman"/>
          <w:highlight w:val="none"/>
        </w:rPr>
        <w:t>焚烧、填埋和（或）</w:t>
      </w:r>
      <w:r>
        <w:rPr>
          <w:rFonts w:hint="eastAsia" w:ascii="Times New Roman"/>
          <w:highlight w:val="none"/>
          <w:lang w:val="en-US" w:eastAsia="zh-CN"/>
        </w:rPr>
        <w:t>回收利用</w:t>
      </w:r>
      <w:r>
        <w:rPr>
          <w:rFonts w:ascii="Times New Roman"/>
          <w:highlight w:val="none"/>
        </w:rPr>
        <w:t>等方式</w:t>
      </w:r>
      <w:r>
        <w:rPr>
          <w:rFonts w:hint="eastAsia" w:ascii="Times New Roman"/>
          <w:highlight w:val="none"/>
          <w:lang w:val="en-US" w:eastAsia="zh-CN"/>
        </w:rPr>
        <w:t>处置</w:t>
      </w:r>
      <w:r>
        <w:rPr>
          <w:rFonts w:ascii="Times New Roman"/>
          <w:highlight w:val="none"/>
        </w:rPr>
        <w:t>，</w:t>
      </w:r>
      <w:r>
        <w:rPr>
          <w:rFonts w:hint="eastAsia" w:ascii="Times New Roman"/>
          <w:highlight w:val="none"/>
          <w:lang w:val="en-US" w:eastAsia="zh-CN"/>
        </w:rPr>
        <w:t>按式（7）计算：</w:t>
      </w:r>
    </w:p>
    <w:p w14:paraId="4701E2B4">
      <w:pPr>
        <w:pStyle w:val="27"/>
        <w:spacing w:line="276" w:lineRule="auto"/>
        <w:ind w:firstLine="0" w:firstLineChars="0"/>
        <w:jc w:val="right"/>
        <w:rPr>
          <w:rFonts w:ascii="Times New Roman"/>
          <w:szCs w:val="21"/>
          <w:highlight w:val="none"/>
        </w:rPr>
      </w:pPr>
      <m:oMath>
        <m:sSub>
          <m:sSubPr>
            <m:ctrlPr>
              <w:rPr>
                <w:rFonts w:ascii="Cambria Math" w:hAnsi="Cambria Math"/>
                <w:i/>
                <w:szCs w:val="21"/>
                <w:highlight w:val="none"/>
              </w:rPr>
            </m:ctrlPr>
          </m:sSubPr>
          <m:e>
            <m:r>
              <m:rPr/>
              <w:rPr>
                <w:rFonts w:ascii="Cambria Math" w:hAnsi="Cambria Math"/>
                <w:szCs w:val="21"/>
                <w:highlight w:val="none"/>
              </w:rPr>
              <m:t>CFP</m:t>
            </m:r>
            <m:ctrlPr>
              <w:rPr>
                <w:rFonts w:ascii="Cambria Math" w:hAnsi="Cambria Math"/>
                <w:i/>
                <w:szCs w:val="21"/>
                <w:highlight w:val="none"/>
              </w:rPr>
            </m:ctrlPr>
          </m:e>
          <m:sub>
            <m:r>
              <m:rPr/>
              <w:rPr>
                <w:rFonts w:ascii="Cambria Math" w:hAnsi="Cambria Math"/>
                <w:szCs w:val="21"/>
                <w:highlight w:val="none"/>
              </w:rPr>
              <m:t>E,i</m:t>
            </m:r>
            <m:ctrlPr>
              <w:rPr>
                <w:rFonts w:ascii="Cambria Math" w:hAnsi="Cambria Math"/>
                <w:i/>
                <w:szCs w:val="21"/>
                <w:highlight w:val="none"/>
              </w:rPr>
            </m:ctrlPr>
          </m:sub>
        </m:sSub>
        <m:r>
          <m:rPr/>
          <w:rPr>
            <w:rFonts w:ascii="Cambria Math" w:hAnsi="Cambria Math"/>
            <w:szCs w:val="21"/>
            <w:highlight w:val="none"/>
          </w:rPr>
          <m:t>=</m:t>
        </m:r>
        <m:nary>
          <m:naryPr>
            <m:chr m:val="∑"/>
            <m:subHide m:val="1"/>
            <m:supHide m:val="1"/>
            <m:ctrlPr>
              <w:rPr>
                <w:rFonts w:ascii="Cambria Math" w:hAnsi="Cambria Math"/>
                <w:i/>
                <w:highlight w:val="none"/>
              </w:rPr>
            </m:ctrlPr>
          </m:naryPr>
          <m:sub>
            <m:ctrlPr>
              <w:rPr>
                <w:rFonts w:ascii="Cambria Math" w:hAnsi="Cambria Math"/>
                <w:i/>
                <w:highlight w:val="none"/>
              </w:rPr>
            </m:ctrlPr>
          </m:sub>
          <m:sup>
            <m:ctrlPr>
              <w:rPr>
                <w:rFonts w:ascii="Cambria Math" w:hAnsi="Cambria Math"/>
                <w:i/>
                <w:highlight w:val="none"/>
              </w:rPr>
            </m:ctrlPr>
          </m:sup>
          <m:e>
            <m:d>
              <m:dPr>
                <m:ctrlPr>
                  <w:rPr>
                    <w:rFonts w:ascii="Cambria Math" w:hAnsi="Cambria Math"/>
                    <w:i/>
                    <w:highlight w:val="none"/>
                  </w:rPr>
                </m:ctrlPr>
              </m:dPr>
              <m:e>
                <m:sSub>
                  <m:sSubPr>
                    <m:ctrlPr>
                      <w:rPr>
                        <w:rFonts w:ascii="Cambria Math" w:hAnsi="Cambria Math"/>
                        <w:i/>
                        <w:highlight w:val="none"/>
                      </w:rPr>
                    </m:ctrlPr>
                  </m:sSubPr>
                  <m:e>
                    <m:r>
                      <m:rPr/>
                      <w:rPr>
                        <w:rFonts w:ascii="Cambria Math" w:hAnsi="Cambria Math"/>
                        <w:highlight w:val="none"/>
                      </w:rPr>
                      <m:t>M</m:t>
                    </m:r>
                    <m:ctrlPr>
                      <w:rPr>
                        <w:rFonts w:ascii="Cambria Math" w:hAnsi="Cambria Math"/>
                        <w:i/>
                        <w:highlight w:val="none"/>
                      </w:rPr>
                    </m:ctrlPr>
                  </m:e>
                  <m:sub>
                    <m:r>
                      <m:rPr>
                        <m:nor/>
                      </m:rPr>
                      <w:rPr>
                        <w:rFonts w:hint="default" w:ascii="Cambria Math" w:hAnsi="Cambria Math"/>
                        <w:i/>
                        <w:highlight w:val="none"/>
                        <w:lang w:val="en-US" w:eastAsia="zh-CN"/>
                      </w:rPr>
                      <m:t>E1,</m:t>
                    </m:r>
                    <m:r>
                      <m:rPr>
                        <m:nor/>
                      </m:rPr>
                      <w:rPr>
                        <w:rFonts w:ascii="Cambria Math" w:hAnsi="Cambria Math"/>
                        <w:i/>
                        <w:highlight w:val="none"/>
                      </w:rPr>
                      <m:t>j</m:t>
                    </m:r>
                    <m:ctrlPr>
                      <w:rPr>
                        <w:rFonts w:ascii="Cambria Math" w:hAnsi="Cambria Math"/>
                        <w:i/>
                        <w:highlight w:val="none"/>
                      </w:rPr>
                    </m:ctrlPr>
                  </m:sub>
                </m:sSub>
                <m:r>
                  <m:rPr/>
                  <w:rPr>
                    <w:rFonts w:ascii="Cambria Math" w:hAnsi="Cambria Math"/>
                    <w:highlight w:val="none"/>
                  </w:rPr>
                  <m:t>×CE</m:t>
                </m:r>
                <m:sSub>
                  <m:sSubPr>
                    <m:ctrlPr>
                      <w:rPr>
                        <w:rFonts w:ascii="Cambria Math" w:hAnsi="Cambria Math"/>
                        <w:i/>
                        <w:highlight w:val="none"/>
                      </w:rPr>
                    </m:ctrlPr>
                  </m:sSubPr>
                  <m:e>
                    <m:r>
                      <m:rPr/>
                      <w:rPr>
                        <w:rFonts w:ascii="Cambria Math" w:hAnsi="Cambria Math"/>
                        <w:highlight w:val="none"/>
                      </w:rPr>
                      <m:t>F</m:t>
                    </m:r>
                    <m:ctrlPr>
                      <w:rPr>
                        <w:rFonts w:ascii="Cambria Math" w:hAnsi="Cambria Math"/>
                        <w:i/>
                        <w:highlight w:val="none"/>
                      </w:rPr>
                    </m:ctrlPr>
                  </m:e>
                  <m:sub>
                    <m:r>
                      <m:rPr>
                        <m:nor/>
                      </m:rPr>
                      <w:rPr>
                        <w:rFonts w:hint="default" w:ascii="Cambria Math" w:hAnsi="Cambria Math"/>
                        <w:i/>
                        <w:highlight w:val="none"/>
                        <w:lang w:val="en-US" w:eastAsia="zh-CN"/>
                      </w:rPr>
                      <m:t>E1,</m:t>
                    </m:r>
                    <m:r>
                      <m:rPr>
                        <m:nor/>
                      </m:rPr>
                      <w:rPr>
                        <w:rFonts w:ascii="Cambria Math" w:hAnsi="Cambria Math"/>
                        <w:i/>
                        <w:highlight w:val="none"/>
                      </w:rPr>
                      <m:t>i,j</m:t>
                    </m:r>
                    <m:ctrlPr>
                      <w:rPr>
                        <w:rFonts w:ascii="Cambria Math" w:hAnsi="Cambria Math"/>
                        <w:i/>
                        <w:highlight w:val="none"/>
                      </w:rPr>
                    </m:ctrlPr>
                  </m:sub>
                </m:sSub>
                <m:ctrlPr>
                  <w:rPr>
                    <w:rFonts w:ascii="Cambria Math" w:hAnsi="Cambria Math"/>
                    <w:i/>
                    <w:highlight w:val="none"/>
                  </w:rPr>
                </m:ctrlPr>
              </m:e>
            </m:d>
            <m:ctrlPr>
              <w:rPr>
                <w:rFonts w:ascii="Cambria Math" w:hAnsi="Cambria Math"/>
                <w:i/>
                <w:highlight w:val="none"/>
              </w:rPr>
            </m:ctrlPr>
          </m:e>
        </m:nary>
        <m:r>
          <m:rPr/>
          <w:rPr>
            <w:rFonts w:ascii="Cambria Math" w:hAnsi="Cambria Math"/>
            <w:szCs w:val="21"/>
            <w:highlight w:val="none"/>
          </w:rPr>
          <m:t>+</m:t>
        </m:r>
        <m:nary>
          <m:naryPr>
            <m:chr m:val="∑"/>
            <m:subHide m:val="1"/>
            <m:supHide m:val="1"/>
            <m:ctrlPr>
              <w:rPr>
                <w:rFonts w:ascii="Cambria Math" w:hAnsi="Cambria Math"/>
                <w:i/>
                <w:highlight w:val="none"/>
              </w:rPr>
            </m:ctrlPr>
          </m:naryPr>
          <m:sub>
            <m:ctrlPr>
              <w:rPr>
                <w:rFonts w:ascii="Cambria Math" w:hAnsi="Cambria Math"/>
                <w:i/>
                <w:highlight w:val="none"/>
              </w:rPr>
            </m:ctrlPr>
          </m:sub>
          <m:sup>
            <m:ctrlPr>
              <w:rPr>
                <w:rFonts w:ascii="Cambria Math" w:hAnsi="Cambria Math"/>
                <w:i/>
                <w:highlight w:val="none"/>
              </w:rPr>
            </m:ctrlPr>
          </m:sup>
          <m:e>
            <m:d>
              <m:dPr>
                <m:ctrlPr>
                  <w:rPr>
                    <w:rFonts w:ascii="Cambria Math" w:hAnsi="Cambria Math"/>
                    <w:i/>
                    <w:highlight w:val="none"/>
                  </w:rPr>
                </m:ctrlPr>
              </m:dPr>
              <m:e>
                <m:sSub>
                  <m:sSubPr>
                    <m:ctrlPr>
                      <w:rPr>
                        <w:rFonts w:ascii="Cambria Math" w:hAnsi="Cambria Math"/>
                        <w:i/>
                        <w:highlight w:val="none"/>
                      </w:rPr>
                    </m:ctrlPr>
                  </m:sSubPr>
                  <m:e>
                    <m:r>
                      <m:rPr/>
                      <w:rPr>
                        <w:rFonts w:ascii="Cambria Math" w:hAnsi="Cambria Math"/>
                        <w:highlight w:val="none"/>
                      </w:rPr>
                      <m:t>M</m:t>
                    </m:r>
                    <m:ctrlPr>
                      <w:rPr>
                        <w:rFonts w:ascii="Cambria Math" w:hAnsi="Cambria Math"/>
                        <w:i/>
                        <w:highlight w:val="none"/>
                      </w:rPr>
                    </m:ctrlPr>
                  </m:e>
                  <m:sub>
                    <m:r>
                      <m:rPr>
                        <m:nor/>
                      </m:rPr>
                      <w:rPr>
                        <w:rFonts w:hint="default" w:ascii="Cambria Math" w:hAnsi="Cambria Math"/>
                        <w:i/>
                        <w:highlight w:val="none"/>
                        <w:lang w:val="en-US" w:eastAsia="zh-CN"/>
                      </w:rPr>
                      <m:t>E2,</m:t>
                    </m:r>
                    <m:r>
                      <m:rPr>
                        <m:nor/>
                      </m:rPr>
                      <w:rPr>
                        <w:rFonts w:ascii="Cambria Math" w:hAnsi="Cambria Math"/>
                        <w:i/>
                        <w:highlight w:val="none"/>
                      </w:rPr>
                      <m:t>j</m:t>
                    </m:r>
                    <m:r>
                      <m:rPr>
                        <m:nor/>
                      </m:rPr>
                      <w:rPr>
                        <w:rFonts w:hint="default" w:ascii="Cambria Math" w:hAnsi="Cambria Math"/>
                        <w:i/>
                        <w:highlight w:val="none"/>
                        <w:lang w:val="en-US" w:eastAsia="zh-CN"/>
                      </w:rPr>
                      <m:t>,k</m:t>
                    </m:r>
                    <m:ctrlPr>
                      <w:rPr>
                        <w:rFonts w:ascii="Cambria Math" w:hAnsi="Cambria Math"/>
                        <w:i/>
                        <w:highlight w:val="none"/>
                      </w:rPr>
                    </m:ctrlPr>
                  </m:sub>
                </m:sSub>
                <m:r>
                  <m:rPr/>
                  <w:rPr>
                    <w:rFonts w:ascii="Cambria Math" w:hAnsi="Cambria Math"/>
                    <w:highlight w:val="none"/>
                  </w:rPr>
                  <m:t>×</m:t>
                </m:r>
                <m:sSub>
                  <m:sSubPr>
                    <m:ctrlPr>
                      <w:rPr>
                        <w:rFonts w:ascii="Cambria Math" w:hAnsi="Cambria Math"/>
                        <w:i/>
                        <w:iCs w:val="0"/>
                        <w:highlight w:val="none"/>
                      </w:rPr>
                    </m:ctrlPr>
                  </m:sSubPr>
                  <m:e>
                    <m:r>
                      <m:rPr/>
                      <w:rPr>
                        <w:rFonts w:hint="default" w:ascii="Cambria Math" w:hAnsi="Cambria Math"/>
                        <w:highlight w:val="none"/>
                      </w:rPr>
                      <m:t>D</m:t>
                    </m:r>
                    <m:ctrlPr>
                      <w:rPr>
                        <w:rFonts w:ascii="Cambria Math" w:hAnsi="Cambria Math"/>
                        <w:i/>
                        <w:iCs w:val="0"/>
                        <w:highlight w:val="none"/>
                      </w:rPr>
                    </m:ctrlPr>
                  </m:e>
                  <m:sub>
                    <m:r>
                      <m:rPr/>
                      <w:rPr>
                        <w:rFonts w:hint="default" w:ascii="Cambria Math" w:hAnsi="Cambria Math"/>
                        <w:highlight w:val="none"/>
                        <w:lang w:val="en-US" w:eastAsia="zh-CN"/>
                      </w:rPr>
                      <m:t>E2,</m:t>
                    </m:r>
                    <m:r>
                      <m:rPr/>
                      <w:rPr>
                        <w:rFonts w:hint="default" w:ascii="Cambria Math" w:hAnsi="Cambria Math"/>
                        <w:highlight w:val="none"/>
                      </w:rPr>
                      <m:t>j,k</m:t>
                    </m:r>
                    <m:ctrlPr>
                      <w:rPr>
                        <w:rFonts w:ascii="Cambria Math" w:hAnsi="Cambria Math"/>
                        <w:i/>
                        <w:iCs w:val="0"/>
                        <w:highlight w:val="none"/>
                      </w:rPr>
                    </m:ctrlPr>
                  </m:sub>
                </m:sSub>
                <m:r>
                  <m:rPr/>
                  <w:rPr>
                    <w:rFonts w:ascii="Cambria Math" w:hAnsi="Cambria Math"/>
                    <w:highlight w:val="none"/>
                  </w:rPr>
                  <m:t>×TE</m:t>
                </m:r>
                <m:sSub>
                  <m:sSubPr>
                    <m:ctrlPr>
                      <w:rPr>
                        <w:rFonts w:ascii="Cambria Math" w:hAnsi="Cambria Math"/>
                        <w:i/>
                        <w:highlight w:val="none"/>
                      </w:rPr>
                    </m:ctrlPr>
                  </m:sSubPr>
                  <m:e>
                    <m:r>
                      <m:rPr/>
                      <w:rPr>
                        <w:rFonts w:ascii="Cambria Math" w:hAnsi="Cambria Math"/>
                        <w:highlight w:val="none"/>
                      </w:rPr>
                      <m:t>F</m:t>
                    </m:r>
                    <m:ctrlPr>
                      <w:rPr>
                        <w:rFonts w:ascii="Cambria Math" w:hAnsi="Cambria Math"/>
                        <w:i/>
                        <w:highlight w:val="none"/>
                      </w:rPr>
                    </m:ctrlPr>
                  </m:e>
                  <m:sub>
                    <m:r>
                      <m:rPr>
                        <m:nor/>
                      </m:rPr>
                      <w:rPr>
                        <w:rFonts w:ascii="Cambria Math" w:hAnsi="Cambria Math"/>
                        <w:i/>
                        <w:highlight w:val="none"/>
                      </w:rPr>
                      <m:t>i,k</m:t>
                    </m:r>
                    <m:ctrlPr>
                      <w:rPr>
                        <w:rFonts w:ascii="Cambria Math" w:hAnsi="Cambria Math"/>
                        <w:i/>
                        <w:highlight w:val="none"/>
                      </w:rPr>
                    </m:ctrlPr>
                  </m:sub>
                </m:sSub>
                <m:ctrlPr>
                  <w:rPr>
                    <w:rFonts w:ascii="Cambria Math" w:hAnsi="Cambria Math"/>
                    <w:i/>
                    <w:highlight w:val="none"/>
                  </w:rPr>
                </m:ctrlPr>
              </m:e>
            </m:d>
            <m:ctrlPr>
              <w:rPr>
                <w:rFonts w:ascii="Cambria Math" w:hAnsi="Cambria Math"/>
                <w:i/>
                <w:highlight w:val="none"/>
              </w:rPr>
            </m:ctrlPr>
          </m:e>
        </m:nary>
        <m:r>
          <m:rPr/>
          <w:rPr>
            <w:rFonts w:hint="default" w:ascii="Cambria Math" w:hAnsi="Cambria Math"/>
            <w:highlight w:val="none"/>
            <w:lang w:val="en-US" w:eastAsia="zh-CN"/>
          </w:rPr>
          <m:t>+</m:t>
        </m:r>
        <m:nary>
          <m:naryPr>
            <m:chr m:val="∑"/>
            <m:subHide m:val="1"/>
            <m:supHide m:val="1"/>
            <m:ctrlPr>
              <w:rPr>
                <w:rFonts w:ascii="Cambria Math" w:hAnsi="Cambria Math"/>
                <w:i/>
                <w:highlight w:val="none"/>
              </w:rPr>
            </m:ctrlPr>
          </m:naryPr>
          <m:sub>
            <m:ctrlPr>
              <w:rPr>
                <w:rFonts w:ascii="Cambria Math" w:hAnsi="Cambria Math"/>
                <w:i/>
                <w:highlight w:val="none"/>
              </w:rPr>
            </m:ctrlPr>
          </m:sub>
          <m:sup>
            <m:ctrlPr>
              <w:rPr>
                <w:rFonts w:ascii="Cambria Math" w:hAnsi="Cambria Math"/>
                <w:i/>
                <w:highlight w:val="none"/>
              </w:rPr>
            </m:ctrlPr>
          </m:sup>
          <m:e>
            <m:d>
              <m:dPr>
                <m:ctrlPr>
                  <w:rPr>
                    <w:rFonts w:ascii="Cambria Math" w:hAnsi="Cambria Math"/>
                    <w:i/>
                    <w:highlight w:val="none"/>
                  </w:rPr>
                </m:ctrlPr>
              </m:dPr>
              <m:e>
                <m:sSub>
                  <m:sSubPr>
                    <m:ctrlPr>
                      <w:rPr>
                        <w:rFonts w:ascii="Cambria Math" w:hAnsi="Cambria Math"/>
                        <w:i/>
                        <w:highlight w:val="none"/>
                      </w:rPr>
                    </m:ctrlPr>
                  </m:sSubPr>
                  <m:e>
                    <m:r>
                      <m:rPr/>
                      <w:rPr>
                        <w:rFonts w:ascii="Cambria Math" w:hAnsi="Cambria Math"/>
                        <w:highlight w:val="none"/>
                      </w:rPr>
                      <m:t>M</m:t>
                    </m:r>
                    <m:ctrlPr>
                      <w:rPr>
                        <w:rFonts w:ascii="Cambria Math" w:hAnsi="Cambria Math"/>
                        <w:i/>
                        <w:highlight w:val="none"/>
                      </w:rPr>
                    </m:ctrlPr>
                  </m:e>
                  <m:sub>
                    <m:r>
                      <m:rPr>
                        <m:nor/>
                      </m:rPr>
                      <w:rPr>
                        <w:rFonts w:hint="default" w:ascii="Cambria Math" w:hAnsi="Cambria Math"/>
                        <w:i/>
                        <w:highlight w:val="none"/>
                        <w:lang w:val="en-US" w:eastAsia="zh-CN"/>
                      </w:rPr>
                      <m:t>E3,</m:t>
                    </m:r>
                    <m:r>
                      <m:rPr>
                        <m:nor/>
                      </m:rPr>
                      <w:rPr>
                        <w:rFonts w:ascii="Cambria Math" w:hAnsi="Cambria Math"/>
                        <w:i/>
                        <w:highlight w:val="none"/>
                      </w:rPr>
                      <m:t>j</m:t>
                    </m:r>
                    <m:ctrlPr>
                      <w:rPr>
                        <w:rFonts w:ascii="Cambria Math" w:hAnsi="Cambria Math"/>
                        <w:i/>
                        <w:highlight w:val="none"/>
                      </w:rPr>
                    </m:ctrlPr>
                  </m:sub>
                </m:sSub>
                <m:r>
                  <m:rPr/>
                  <w:rPr>
                    <w:rFonts w:ascii="Cambria Math" w:hAnsi="Cambria Math"/>
                    <w:highlight w:val="none"/>
                  </w:rPr>
                  <m:t>×CE</m:t>
                </m:r>
                <m:sSub>
                  <m:sSubPr>
                    <m:ctrlPr>
                      <w:rPr>
                        <w:rFonts w:ascii="Cambria Math" w:hAnsi="Cambria Math"/>
                        <w:i/>
                        <w:highlight w:val="none"/>
                      </w:rPr>
                    </m:ctrlPr>
                  </m:sSubPr>
                  <m:e>
                    <m:r>
                      <m:rPr/>
                      <w:rPr>
                        <w:rFonts w:ascii="Cambria Math" w:hAnsi="Cambria Math"/>
                        <w:highlight w:val="none"/>
                      </w:rPr>
                      <m:t>F</m:t>
                    </m:r>
                    <m:ctrlPr>
                      <w:rPr>
                        <w:rFonts w:ascii="Cambria Math" w:hAnsi="Cambria Math"/>
                        <w:i/>
                        <w:highlight w:val="none"/>
                      </w:rPr>
                    </m:ctrlPr>
                  </m:e>
                  <m:sub>
                    <m:r>
                      <m:rPr>
                        <m:nor/>
                      </m:rPr>
                      <w:rPr>
                        <w:rFonts w:hint="default" w:ascii="Cambria Math" w:hAnsi="Cambria Math"/>
                        <w:i/>
                        <w:highlight w:val="none"/>
                        <w:lang w:val="en-US" w:eastAsia="zh-CN"/>
                      </w:rPr>
                      <m:t>E3,</m:t>
                    </m:r>
                    <m:r>
                      <m:rPr>
                        <m:nor/>
                      </m:rPr>
                      <w:rPr>
                        <w:rFonts w:ascii="Cambria Math" w:hAnsi="Cambria Math"/>
                        <w:i/>
                        <w:highlight w:val="none"/>
                      </w:rPr>
                      <m:t>i,j</m:t>
                    </m:r>
                    <m:ctrlPr>
                      <w:rPr>
                        <w:rFonts w:ascii="Cambria Math" w:hAnsi="Cambria Math"/>
                        <w:i/>
                        <w:highlight w:val="none"/>
                      </w:rPr>
                    </m:ctrlPr>
                  </m:sub>
                </m:sSub>
                <m:ctrlPr>
                  <w:rPr>
                    <w:rFonts w:ascii="Cambria Math" w:hAnsi="Cambria Math"/>
                    <w:i/>
                    <w:highlight w:val="none"/>
                  </w:rPr>
                </m:ctrlPr>
              </m:e>
            </m:d>
            <m:ctrlPr>
              <w:rPr>
                <w:rFonts w:ascii="Cambria Math" w:hAnsi="Cambria Math"/>
                <w:i/>
                <w:highlight w:val="none"/>
              </w:rPr>
            </m:ctrlPr>
          </m:e>
        </m:nary>
      </m:oMath>
      <w:r>
        <w:rPr>
          <w:rFonts w:ascii="Times New Roman"/>
          <w:szCs w:val="21"/>
          <w:highlight w:val="none"/>
        </w:rPr>
        <w:t xml:space="preserve">                  （</w:t>
      </w:r>
      <w:r>
        <w:rPr>
          <w:rFonts w:hint="eastAsia" w:ascii="Times New Roman"/>
          <w:szCs w:val="21"/>
          <w:highlight w:val="none"/>
          <w:lang w:val="en-US" w:eastAsia="zh-CN"/>
        </w:rPr>
        <w:t>7</w:t>
      </w:r>
      <w:r>
        <w:rPr>
          <w:rFonts w:ascii="Times New Roman"/>
          <w:szCs w:val="21"/>
          <w:highlight w:val="none"/>
        </w:rPr>
        <w:t>）</w:t>
      </w:r>
    </w:p>
    <w:p w14:paraId="177C9B7E">
      <w:pPr>
        <w:pStyle w:val="27"/>
        <w:spacing w:line="276" w:lineRule="auto"/>
        <w:jc w:val="left"/>
        <w:rPr>
          <w:rFonts w:ascii="Times New Roman"/>
          <w:szCs w:val="21"/>
          <w:highlight w:val="none"/>
        </w:rPr>
      </w:pPr>
      <w:r>
        <w:rPr>
          <w:rFonts w:ascii="Times New Roman"/>
          <w:szCs w:val="21"/>
          <w:highlight w:val="none"/>
        </w:rPr>
        <w:t>式中：</w:t>
      </w:r>
    </w:p>
    <w:tbl>
      <w:tblPr>
        <w:tblStyle w:val="3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9"/>
        <w:gridCol w:w="685"/>
        <w:gridCol w:w="8128"/>
      </w:tblGrid>
      <w:tr w14:paraId="657431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1129" w:type="dxa"/>
            <w:vAlign w:val="top"/>
          </w:tcPr>
          <w:p w14:paraId="0B6261A5">
            <w:pPr>
              <w:pStyle w:val="27"/>
              <w:spacing w:line="276" w:lineRule="auto"/>
              <w:ind w:firstLine="420" w:firstLineChars="200"/>
              <w:jc w:val="right"/>
              <w:rPr>
                <w:rFonts w:ascii="Times New Roman"/>
                <w:i/>
                <w:iCs/>
                <w:szCs w:val="18"/>
                <w:highlight w:val="none"/>
              </w:rPr>
            </w:pPr>
            <w:r>
              <w:rPr>
                <w:rFonts w:ascii="Times New Roman"/>
                <w:i/>
                <w:iCs/>
                <w:szCs w:val="18"/>
                <w:highlight w:val="none"/>
              </w:rPr>
              <w:t>M</w:t>
            </w:r>
            <w:r>
              <w:rPr>
                <w:rFonts w:hint="eastAsia" w:ascii="Times New Roman"/>
                <w:i/>
                <w:iCs/>
                <w:szCs w:val="18"/>
                <w:highlight w:val="none"/>
                <w:vertAlign w:val="subscript"/>
                <w:lang w:val="en-US" w:eastAsia="zh-CN"/>
              </w:rPr>
              <w:t>E1,</w:t>
            </w:r>
            <w:r>
              <w:rPr>
                <w:rFonts w:ascii="Times New Roman"/>
                <w:i/>
                <w:iCs/>
                <w:szCs w:val="18"/>
                <w:highlight w:val="none"/>
                <w:vertAlign w:val="subscript"/>
              </w:rPr>
              <w:t>j</w:t>
            </w:r>
          </w:p>
        </w:tc>
        <w:tc>
          <w:tcPr>
            <w:tcW w:w="685" w:type="dxa"/>
            <w:vAlign w:val="center"/>
          </w:tcPr>
          <w:p w14:paraId="70D3C250">
            <w:pPr>
              <w:pStyle w:val="27"/>
              <w:spacing w:line="360" w:lineRule="auto"/>
              <w:ind w:firstLine="0" w:firstLineChars="0"/>
              <w:jc w:val="left"/>
              <w:rPr>
                <w:rFonts w:ascii="Times New Roman"/>
                <w:szCs w:val="21"/>
                <w:highlight w:val="none"/>
              </w:rPr>
            </w:pPr>
            <w:r>
              <w:rPr>
                <w:rFonts w:hint="eastAsia" w:ascii="Times New Roman"/>
                <w:szCs w:val="21"/>
                <w:highlight w:val="none"/>
              </w:rPr>
              <w:t>——</w:t>
            </w:r>
          </w:p>
        </w:tc>
        <w:tc>
          <w:tcPr>
            <w:tcW w:w="8128" w:type="dxa"/>
            <w:vAlign w:val="top"/>
          </w:tcPr>
          <w:p w14:paraId="5FFF4F8A">
            <w:pPr>
              <w:pStyle w:val="27"/>
              <w:spacing w:line="276" w:lineRule="auto"/>
              <w:ind w:firstLine="0" w:firstLineChars="0"/>
              <w:rPr>
                <w:rFonts w:ascii="Times New Roman"/>
                <w:szCs w:val="21"/>
                <w:highlight w:val="none"/>
              </w:rPr>
            </w:pPr>
            <w:r>
              <w:rPr>
                <w:rFonts w:ascii="Times New Roman"/>
                <w:szCs w:val="21"/>
                <w:highlight w:val="none"/>
              </w:rPr>
              <w:t>每功能单位（</w:t>
            </w:r>
            <w:r>
              <w:rPr>
                <w:rFonts w:hint="eastAsia" w:ascii="Times New Roman"/>
                <w:szCs w:val="21"/>
                <w:highlight w:val="none"/>
              </w:rPr>
              <w:t>声明单位</w:t>
            </w:r>
            <w:r>
              <w:rPr>
                <w:rFonts w:ascii="Times New Roman"/>
                <w:szCs w:val="21"/>
                <w:highlight w:val="none"/>
              </w:rPr>
              <w:t>）</w:t>
            </w:r>
            <w:r>
              <w:rPr>
                <w:rFonts w:hint="eastAsia" w:ascii="Times New Roman"/>
                <w:szCs w:val="21"/>
                <w:highlight w:val="none"/>
                <w:lang w:val="en-US" w:eastAsia="zh-CN"/>
              </w:rPr>
              <w:t>生命末期拆除阶段</w:t>
            </w:r>
            <w:r>
              <w:rPr>
                <w:rFonts w:ascii="Times New Roman"/>
                <w:szCs w:val="18"/>
                <w:highlight w:val="none"/>
              </w:rPr>
              <w:t>第</w:t>
            </w:r>
            <w:r>
              <w:rPr>
                <w:rFonts w:ascii="Times New Roman"/>
                <w:i/>
                <w:iCs/>
                <w:szCs w:val="21"/>
                <w:highlight w:val="none"/>
              </w:rPr>
              <w:t>j</w:t>
            </w:r>
            <w:r>
              <w:rPr>
                <w:rFonts w:ascii="Times New Roman"/>
                <w:szCs w:val="18"/>
                <w:highlight w:val="none"/>
              </w:rPr>
              <w:t>种</w:t>
            </w:r>
            <w:r>
              <w:rPr>
                <w:rFonts w:hint="eastAsia" w:ascii="Times New Roman"/>
                <w:szCs w:val="18"/>
                <w:highlight w:val="none"/>
                <w:lang w:val="en-US" w:eastAsia="zh-CN"/>
              </w:rPr>
              <w:t>能源和物料</w:t>
            </w:r>
            <w:r>
              <w:rPr>
                <w:rFonts w:ascii="Times New Roman"/>
                <w:szCs w:val="18"/>
                <w:highlight w:val="none"/>
              </w:rPr>
              <w:t>的消耗量，单位视</w:t>
            </w:r>
            <w:r>
              <w:rPr>
                <w:rFonts w:hint="eastAsia" w:ascii="Times New Roman"/>
                <w:szCs w:val="18"/>
                <w:highlight w:val="none"/>
                <w:lang w:val="en-US" w:eastAsia="zh-CN"/>
              </w:rPr>
              <w:t>能源和物料</w:t>
            </w:r>
            <w:r>
              <w:rPr>
                <w:rFonts w:ascii="Times New Roman"/>
                <w:szCs w:val="18"/>
                <w:highlight w:val="none"/>
              </w:rPr>
              <w:t>种类而定；</w:t>
            </w:r>
          </w:p>
        </w:tc>
      </w:tr>
      <w:tr w14:paraId="304320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1129" w:type="dxa"/>
            <w:vAlign w:val="top"/>
          </w:tcPr>
          <w:p w14:paraId="3462E8F3">
            <w:pPr>
              <w:pStyle w:val="27"/>
              <w:spacing w:line="276" w:lineRule="auto"/>
              <w:ind w:firstLine="0" w:firstLineChars="0"/>
              <w:jc w:val="right"/>
              <w:rPr>
                <w:rFonts w:ascii="Times New Roman"/>
                <w:i/>
                <w:iCs/>
                <w:szCs w:val="18"/>
                <w:highlight w:val="none"/>
              </w:rPr>
            </w:pPr>
            <w:r>
              <w:rPr>
                <w:rFonts w:ascii="Times New Roman"/>
                <w:i/>
                <w:iCs/>
                <w:szCs w:val="18"/>
                <w:highlight w:val="none"/>
              </w:rPr>
              <w:t>CEF</w:t>
            </w:r>
            <w:r>
              <w:rPr>
                <w:rFonts w:hint="eastAsia" w:ascii="Times New Roman"/>
                <w:i/>
                <w:iCs/>
                <w:szCs w:val="18"/>
                <w:highlight w:val="none"/>
                <w:vertAlign w:val="subscript"/>
                <w:lang w:val="en-US" w:eastAsia="zh-CN"/>
              </w:rPr>
              <w:t>E1,</w:t>
            </w:r>
            <w:r>
              <w:rPr>
                <w:rFonts w:ascii="Times New Roman"/>
                <w:i/>
                <w:iCs/>
                <w:szCs w:val="18"/>
                <w:highlight w:val="none"/>
                <w:vertAlign w:val="subscript"/>
              </w:rPr>
              <w:t>i,j</w:t>
            </w:r>
          </w:p>
        </w:tc>
        <w:tc>
          <w:tcPr>
            <w:tcW w:w="685" w:type="dxa"/>
            <w:vAlign w:val="center"/>
          </w:tcPr>
          <w:p w14:paraId="2CA48E42">
            <w:pPr>
              <w:spacing w:line="360" w:lineRule="auto"/>
              <w:jc w:val="left"/>
              <w:rPr>
                <w:rFonts w:ascii="Times New Roman"/>
                <w:szCs w:val="21"/>
                <w:highlight w:val="none"/>
              </w:rPr>
            </w:pPr>
            <w:r>
              <w:rPr>
                <w:rFonts w:hint="eastAsia"/>
                <w:szCs w:val="21"/>
                <w:highlight w:val="none"/>
              </w:rPr>
              <w:t>——</w:t>
            </w:r>
          </w:p>
        </w:tc>
        <w:tc>
          <w:tcPr>
            <w:tcW w:w="8128" w:type="dxa"/>
            <w:vAlign w:val="top"/>
          </w:tcPr>
          <w:p w14:paraId="5C49BBBE">
            <w:pPr>
              <w:pStyle w:val="27"/>
              <w:spacing w:line="276" w:lineRule="auto"/>
              <w:ind w:firstLine="0" w:firstLineChars="0"/>
              <w:rPr>
                <w:rFonts w:ascii="Times New Roman"/>
                <w:szCs w:val="21"/>
                <w:highlight w:val="none"/>
              </w:rPr>
            </w:pPr>
            <w:r>
              <w:rPr>
                <w:rFonts w:ascii="Times New Roman"/>
                <w:szCs w:val="18"/>
                <w:highlight w:val="none"/>
              </w:rPr>
              <w:t>第</w:t>
            </w:r>
            <w:r>
              <w:rPr>
                <w:rFonts w:ascii="Times New Roman"/>
                <w:i/>
                <w:iCs/>
                <w:szCs w:val="21"/>
                <w:highlight w:val="none"/>
              </w:rPr>
              <w:t>j</w:t>
            </w:r>
            <w:r>
              <w:rPr>
                <w:rFonts w:ascii="Times New Roman"/>
                <w:szCs w:val="18"/>
                <w:highlight w:val="none"/>
              </w:rPr>
              <w:t>种</w:t>
            </w:r>
            <w:r>
              <w:rPr>
                <w:rFonts w:hint="eastAsia" w:ascii="Times New Roman"/>
                <w:szCs w:val="18"/>
                <w:highlight w:val="none"/>
                <w:lang w:val="en-US" w:eastAsia="zh-CN"/>
              </w:rPr>
              <w:t>能源和物料获取</w:t>
            </w:r>
            <w:r>
              <w:rPr>
                <w:rFonts w:ascii="Times New Roman"/>
                <w:szCs w:val="18"/>
                <w:highlight w:val="none"/>
              </w:rPr>
              <w:t>的第</w:t>
            </w:r>
            <w:r>
              <w:rPr>
                <w:rFonts w:ascii="Times New Roman"/>
                <w:i/>
                <w:iCs/>
                <w:szCs w:val="21"/>
                <w:highlight w:val="none"/>
              </w:rPr>
              <w:t>i</w:t>
            </w:r>
            <w:r>
              <w:rPr>
                <w:rFonts w:ascii="Times New Roman"/>
                <w:szCs w:val="18"/>
                <w:highlight w:val="none"/>
              </w:rPr>
              <w:t>种温室气体排放因子，单位视</w:t>
            </w:r>
            <w:r>
              <w:rPr>
                <w:rFonts w:hint="eastAsia" w:ascii="Times New Roman"/>
                <w:szCs w:val="18"/>
                <w:highlight w:val="none"/>
                <w:lang w:val="en-US" w:eastAsia="zh-CN"/>
              </w:rPr>
              <w:t>能源和物料</w:t>
            </w:r>
            <w:r>
              <w:rPr>
                <w:rFonts w:ascii="Times New Roman"/>
                <w:szCs w:val="18"/>
                <w:highlight w:val="none"/>
              </w:rPr>
              <w:t>种类而定；</w:t>
            </w:r>
          </w:p>
        </w:tc>
      </w:tr>
      <w:tr w14:paraId="480F79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1129" w:type="dxa"/>
          </w:tcPr>
          <w:p w14:paraId="06344AD0">
            <w:pPr>
              <w:pStyle w:val="27"/>
              <w:spacing w:line="276" w:lineRule="auto"/>
              <w:jc w:val="right"/>
              <w:rPr>
                <w:rFonts w:hint="default" w:ascii="Times New Roman" w:eastAsia="宋体"/>
                <w:i/>
                <w:iCs/>
                <w:szCs w:val="18"/>
                <w:highlight w:val="none"/>
                <w:lang w:val="en-US" w:eastAsia="zh-CN"/>
              </w:rPr>
            </w:pPr>
            <w:r>
              <w:rPr>
                <w:rFonts w:ascii="Times New Roman"/>
                <w:i/>
                <w:iCs/>
                <w:szCs w:val="18"/>
                <w:highlight w:val="none"/>
              </w:rPr>
              <w:t>M</w:t>
            </w:r>
            <w:r>
              <w:rPr>
                <w:rFonts w:hint="eastAsia" w:ascii="Times New Roman"/>
                <w:i/>
                <w:iCs/>
                <w:szCs w:val="18"/>
                <w:highlight w:val="none"/>
                <w:vertAlign w:val="subscript"/>
                <w:lang w:val="en-US" w:eastAsia="zh-CN"/>
              </w:rPr>
              <w:t>E2,</w:t>
            </w:r>
            <w:r>
              <w:rPr>
                <w:rFonts w:ascii="Times New Roman"/>
                <w:i/>
                <w:iCs/>
                <w:szCs w:val="18"/>
                <w:highlight w:val="none"/>
                <w:vertAlign w:val="subscript"/>
              </w:rPr>
              <w:t>j</w:t>
            </w:r>
            <w:r>
              <w:rPr>
                <w:rFonts w:hint="eastAsia" w:ascii="Times New Roman"/>
                <w:i/>
                <w:iCs/>
                <w:szCs w:val="18"/>
                <w:highlight w:val="none"/>
                <w:vertAlign w:val="subscript"/>
                <w:lang w:val="en-US" w:eastAsia="zh-CN"/>
              </w:rPr>
              <w:t>,k</w:t>
            </w:r>
          </w:p>
        </w:tc>
        <w:tc>
          <w:tcPr>
            <w:tcW w:w="685" w:type="dxa"/>
          </w:tcPr>
          <w:p w14:paraId="338B94DF">
            <w:pPr>
              <w:pStyle w:val="27"/>
              <w:spacing w:line="276" w:lineRule="auto"/>
              <w:ind w:firstLine="0" w:firstLineChars="0"/>
              <w:rPr>
                <w:rFonts w:ascii="Times New Roman"/>
                <w:szCs w:val="18"/>
                <w:highlight w:val="none"/>
              </w:rPr>
            </w:pPr>
            <w:r>
              <w:rPr>
                <w:rFonts w:ascii="Times New Roman"/>
                <w:szCs w:val="21"/>
                <w:highlight w:val="none"/>
              </w:rPr>
              <w:t>——</w:t>
            </w:r>
          </w:p>
        </w:tc>
        <w:tc>
          <w:tcPr>
            <w:tcW w:w="8128" w:type="dxa"/>
          </w:tcPr>
          <w:p w14:paraId="46B5885C">
            <w:pPr>
              <w:pStyle w:val="27"/>
              <w:spacing w:line="276" w:lineRule="auto"/>
              <w:ind w:firstLine="0" w:firstLineChars="0"/>
              <w:rPr>
                <w:rFonts w:ascii="Times New Roman"/>
                <w:szCs w:val="18"/>
                <w:highlight w:val="none"/>
              </w:rPr>
            </w:pPr>
            <w:r>
              <w:rPr>
                <w:rFonts w:ascii="Times New Roman"/>
                <w:szCs w:val="21"/>
                <w:highlight w:val="none"/>
              </w:rPr>
              <w:t>每功能单位（</w:t>
            </w:r>
            <w:r>
              <w:rPr>
                <w:rFonts w:hint="eastAsia" w:ascii="Times New Roman"/>
                <w:szCs w:val="21"/>
                <w:highlight w:val="none"/>
              </w:rPr>
              <w:t>声明单位</w:t>
            </w:r>
            <w:r>
              <w:rPr>
                <w:rFonts w:ascii="Times New Roman"/>
                <w:szCs w:val="21"/>
                <w:highlight w:val="none"/>
              </w:rPr>
              <w:t>）</w:t>
            </w:r>
            <w:r>
              <w:rPr>
                <w:rFonts w:hint="eastAsia" w:ascii="Times New Roman"/>
                <w:szCs w:val="21"/>
                <w:highlight w:val="none"/>
                <w:lang w:val="en-US" w:eastAsia="zh-CN"/>
              </w:rPr>
              <w:t>生命末期拆除阶段</w:t>
            </w:r>
            <w:r>
              <w:rPr>
                <w:rFonts w:ascii="Times New Roman"/>
                <w:szCs w:val="18"/>
                <w:highlight w:val="none"/>
              </w:rPr>
              <w:t>第</w:t>
            </w:r>
            <w:r>
              <w:rPr>
                <w:rFonts w:ascii="Times New Roman"/>
                <w:i/>
                <w:iCs/>
                <w:szCs w:val="21"/>
                <w:highlight w:val="none"/>
              </w:rPr>
              <w:t>j</w:t>
            </w:r>
            <w:r>
              <w:rPr>
                <w:rFonts w:ascii="Times New Roman"/>
                <w:szCs w:val="18"/>
                <w:highlight w:val="none"/>
              </w:rPr>
              <w:t>种</w:t>
            </w:r>
            <w:r>
              <w:rPr>
                <w:rFonts w:hint="eastAsia" w:ascii="Times New Roman"/>
                <w:szCs w:val="18"/>
                <w:highlight w:val="none"/>
                <w:lang w:val="en-US" w:eastAsia="zh-CN"/>
              </w:rPr>
              <w:t>燃料和物料</w:t>
            </w:r>
            <w:r>
              <w:rPr>
                <w:rFonts w:hint="eastAsia" w:ascii="Times New Roman"/>
                <w:szCs w:val="21"/>
                <w:highlight w:val="none"/>
                <w:lang w:val="en-US" w:eastAsia="zh-CN"/>
              </w:rPr>
              <w:t>第</w:t>
            </w:r>
            <w:r>
              <w:rPr>
                <w:rFonts w:ascii="Times New Roman"/>
                <w:i/>
                <w:iCs/>
                <w:szCs w:val="21"/>
                <w:highlight w:val="none"/>
              </w:rPr>
              <w:t>k</w:t>
            </w:r>
            <w:r>
              <w:rPr>
                <w:rFonts w:ascii="Times New Roman"/>
                <w:szCs w:val="18"/>
                <w:highlight w:val="none"/>
              </w:rPr>
              <w:t>种运输方式的</w:t>
            </w:r>
            <w:r>
              <w:rPr>
                <w:rFonts w:hint="eastAsia" w:ascii="Times New Roman"/>
                <w:szCs w:val="18"/>
                <w:highlight w:val="none"/>
                <w:lang w:val="en-US" w:eastAsia="zh-CN"/>
              </w:rPr>
              <w:t>运输</w:t>
            </w:r>
            <w:r>
              <w:rPr>
                <w:rFonts w:ascii="Times New Roman"/>
                <w:szCs w:val="18"/>
                <w:highlight w:val="none"/>
              </w:rPr>
              <w:t>量，单位视</w:t>
            </w:r>
            <w:r>
              <w:rPr>
                <w:rFonts w:hint="eastAsia" w:ascii="Times New Roman"/>
                <w:szCs w:val="18"/>
                <w:highlight w:val="none"/>
                <w:lang w:val="en-US" w:eastAsia="zh-CN"/>
              </w:rPr>
              <w:t>能源和物料</w:t>
            </w:r>
            <w:r>
              <w:rPr>
                <w:rFonts w:ascii="Times New Roman"/>
                <w:szCs w:val="18"/>
                <w:highlight w:val="none"/>
              </w:rPr>
              <w:t>种类而定；</w:t>
            </w:r>
          </w:p>
        </w:tc>
      </w:tr>
      <w:tr w14:paraId="6A8E9D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1129" w:type="dxa"/>
          </w:tcPr>
          <w:p w14:paraId="6A794B34">
            <w:pPr>
              <w:pStyle w:val="27"/>
              <w:spacing w:line="276" w:lineRule="auto"/>
              <w:ind w:firstLine="0" w:firstLineChars="0"/>
              <w:jc w:val="right"/>
              <w:rPr>
                <w:rFonts w:ascii="Times New Roman"/>
                <w:i/>
                <w:iCs/>
                <w:szCs w:val="18"/>
                <w:highlight w:val="none"/>
              </w:rPr>
            </w:pPr>
            <w:r>
              <w:rPr>
                <w:rFonts w:ascii="Times New Roman"/>
                <w:i/>
                <w:iCs/>
                <w:szCs w:val="18"/>
                <w:highlight w:val="none"/>
              </w:rPr>
              <w:t>D</w:t>
            </w:r>
            <w:r>
              <w:rPr>
                <w:rFonts w:hint="eastAsia" w:ascii="Times New Roman"/>
                <w:i/>
                <w:iCs/>
                <w:szCs w:val="18"/>
                <w:highlight w:val="none"/>
                <w:vertAlign w:val="subscript"/>
                <w:lang w:val="en-US" w:eastAsia="zh-CN"/>
              </w:rPr>
              <w:t>E2,</w:t>
            </w:r>
            <w:r>
              <w:rPr>
                <w:rFonts w:ascii="Times New Roman"/>
                <w:i/>
                <w:iCs/>
                <w:szCs w:val="18"/>
                <w:highlight w:val="none"/>
                <w:vertAlign w:val="subscript"/>
              </w:rPr>
              <w:t>j,k</w:t>
            </w:r>
          </w:p>
        </w:tc>
        <w:tc>
          <w:tcPr>
            <w:tcW w:w="685" w:type="dxa"/>
          </w:tcPr>
          <w:p w14:paraId="33F999FC">
            <w:pPr>
              <w:pStyle w:val="27"/>
              <w:spacing w:line="276" w:lineRule="auto"/>
              <w:ind w:firstLine="0" w:firstLineChars="0"/>
              <w:rPr>
                <w:rFonts w:ascii="Times New Roman"/>
                <w:szCs w:val="18"/>
                <w:highlight w:val="none"/>
              </w:rPr>
            </w:pPr>
            <w:r>
              <w:rPr>
                <w:rFonts w:ascii="Times New Roman"/>
                <w:szCs w:val="21"/>
                <w:highlight w:val="none"/>
              </w:rPr>
              <w:t>——</w:t>
            </w:r>
          </w:p>
        </w:tc>
        <w:tc>
          <w:tcPr>
            <w:tcW w:w="8128" w:type="dxa"/>
          </w:tcPr>
          <w:p w14:paraId="7FE151D7">
            <w:pPr>
              <w:pStyle w:val="27"/>
              <w:spacing w:line="276" w:lineRule="auto"/>
              <w:ind w:firstLine="0" w:firstLineChars="0"/>
              <w:rPr>
                <w:rFonts w:hint="eastAsia" w:ascii="Times New Roman" w:eastAsia="宋体"/>
                <w:szCs w:val="18"/>
                <w:highlight w:val="none"/>
                <w:lang w:val="en-US" w:eastAsia="zh-CN"/>
              </w:rPr>
            </w:pPr>
            <w:r>
              <w:rPr>
                <w:rFonts w:ascii="Times New Roman"/>
                <w:iCs/>
                <w:szCs w:val="18"/>
                <w:highlight w:val="none"/>
              </w:rPr>
              <w:t>第</w:t>
            </w:r>
            <w:r>
              <w:rPr>
                <w:rFonts w:ascii="Times New Roman"/>
                <w:i/>
                <w:iCs/>
                <w:szCs w:val="21"/>
                <w:highlight w:val="none"/>
              </w:rPr>
              <w:t>j</w:t>
            </w:r>
            <w:r>
              <w:rPr>
                <w:rFonts w:ascii="Times New Roman"/>
                <w:iCs/>
                <w:szCs w:val="18"/>
                <w:highlight w:val="none"/>
              </w:rPr>
              <w:t>种</w:t>
            </w:r>
            <w:r>
              <w:rPr>
                <w:rFonts w:hint="eastAsia" w:ascii="Times New Roman"/>
                <w:szCs w:val="18"/>
                <w:highlight w:val="none"/>
                <w:lang w:val="en-US" w:eastAsia="zh-CN"/>
              </w:rPr>
              <w:t>能源和物料</w:t>
            </w:r>
            <w:r>
              <w:rPr>
                <w:rFonts w:ascii="Times New Roman"/>
                <w:szCs w:val="18"/>
                <w:highlight w:val="none"/>
              </w:rPr>
              <w:t>第</w:t>
            </w:r>
            <w:r>
              <w:rPr>
                <w:rFonts w:ascii="Times New Roman"/>
                <w:i/>
                <w:iCs/>
                <w:szCs w:val="21"/>
                <w:highlight w:val="none"/>
              </w:rPr>
              <w:t>k</w:t>
            </w:r>
            <w:r>
              <w:rPr>
                <w:rFonts w:ascii="Times New Roman"/>
                <w:szCs w:val="18"/>
                <w:highlight w:val="none"/>
              </w:rPr>
              <w:t>种运输方式的运输距离，单位为千米（km）</w:t>
            </w:r>
            <w:r>
              <w:rPr>
                <w:rFonts w:hint="eastAsia" w:ascii="Times New Roman"/>
                <w:szCs w:val="18"/>
                <w:highlight w:val="none"/>
                <w:lang w:eastAsia="zh-CN"/>
              </w:rPr>
              <w:t>。</w:t>
            </w:r>
          </w:p>
        </w:tc>
      </w:tr>
      <w:tr w14:paraId="768764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1129" w:type="dxa"/>
            <w:vAlign w:val="top"/>
          </w:tcPr>
          <w:p w14:paraId="7446853E">
            <w:pPr>
              <w:pStyle w:val="27"/>
              <w:spacing w:line="276" w:lineRule="auto"/>
              <w:ind w:firstLine="420" w:firstLineChars="200"/>
              <w:jc w:val="right"/>
              <w:rPr>
                <w:rFonts w:ascii="Times New Roman"/>
                <w:i/>
                <w:iCs/>
                <w:szCs w:val="18"/>
                <w:highlight w:val="none"/>
              </w:rPr>
            </w:pPr>
            <w:r>
              <w:rPr>
                <w:rFonts w:ascii="Times New Roman"/>
                <w:i/>
                <w:iCs/>
                <w:szCs w:val="18"/>
                <w:highlight w:val="none"/>
              </w:rPr>
              <w:t>M</w:t>
            </w:r>
            <w:r>
              <w:rPr>
                <w:rFonts w:hint="eastAsia" w:ascii="Times New Roman"/>
                <w:i/>
                <w:iCs/>
                <w:szCs w:val="18"/>
                <w:highlight w:val="none"/>
                <w:vertAlign w:val="subscript"/>
                <w:lang w:val="en-US" w:eastAsia="zh-CN"/>
              </w:rPr>
              <w:t>E3,</w:t>
            </w:r>
            <w:r>
              <w:rPr>
                <w:rFonts w:ascii="Times New Roman"/>
                <w:i/>
                <w:iCs/>
                <w:szCs w:val="18"/>
                <w:highlight w:val="none"/>
                <w:vertAlign w:val="subscript"/>
              </w:rPr>
              <w:t>j</w:t>
            </w:r>
          </w:p>
        </w:tc>
        <w:tc>
          <w:tcPr>
            <w:tcW w:w="685" w:type="dxa"/>
          </w:tcPr>
          <w:p w14:paraId="6C6A0719">
            <w:pPr>
              <w:pStyle w:val="27"/>
              <w:spacing w:line="276" w:lineRule="auto"/>
              <w:ind w:firstLine="0" w:firstLineChars="0"/>
              <w:rPr>
                <w:rFonts w:ascii="Times New Roman"/>
                <w:szCs w:val="21"/>
                <w:highlight w:val="none"/>
              </w:rPr>
            </w:pPr>
            <w:r>
              <w:rPr>
                <w:rFonts w:ascii="Times New Roman"/>
                <w:szCs w:val="21"/>
                <w:highlight w:val="none"/>
              </w:rPr>
              <w:t>——</w:t>
            </w:r>
          </w:p>
        </w:tc>
        <w:tc>
          <w:tcPr>
            <w:tcW w:w="8128" w:type="dxa"/>
            <w:vAlign w:val="center"/>
          </w:tcPr>
          <w:p w14:paraId="286E6762">
            <w:pPr>
              <w:tabs>
                <w:tab w:val="center" w:pos="4338"/>
                <w:tab w:val="right" w:pos="8675"/>
              </w:tabs>
              <w:adjustRightInd w:val="0"/>
              <w:snapToGrid w:val="0"/>
              <w:jc w:val="left"/>
              <w:rPr>
                <w:rFonts w:ascii="Times New Roman"/>
                <w:iCs/>
                <w:szCs w:val="18"/>
                <w:highlight w:val="none"/>
              </w:rPr>
            </w:pPr>
            <w:r>
              <w:rPr>
                <w:szCs w:val="21"/>
                <w:highlight w:val="none"/>
              </w:rPr>
              <w:t>每功能单位（</w:t>
            </w:r>
            <w:r>
              <w:rPr>
                <w:rFonts w:hint="eastAsia"/>
                <w:szCs w:val="21"/>
                <w:highlight w:val="none"/>
              </w:rPr>
              <w:t>声明单位</w:t>
            </w:r>
            <w:r>
              <w:rPr>
                <w:szCs w:val="21"/>
                <w:highlight w:val="none"/>
              </w:rPr>
              <w:t>）</w:t>
            </w:r>
            <w:r>
              <w:rPr>
                <w:rFonts w:hint="eastAsia"/>
                <w:szCs w:val="21"/>
                <w:highlight w:val="none"/>
                <w:lang w:val="en-US" w:eastAsia="zh-CN"/>
              </w:rPr>
              <w:t>生命末期第</w:t>
            </w:r>
            <w:r>
              <w:rPr>
                <w:rFonts w:hint="eastAsia"/>
                <w:i/>
                <w:iCs/>
                <w:szCs w:val="21"/>
                <w:highlight w:val="none"/>
                <w:lang w:val="en-US" w:eastAsia="zh-CN"/>
              </w:rPr>
              <w:t>j</w:t>
            </w:r>
            <w:r>
              <w:rPr>
                <w:rFonts w:hint="eastAsia"/>
                <w:szCs w:val="21"/>
                <w:highlight w:val="none"/>
                <w:lang w:val="en-US" w:eastAsia="zh-CN"/>
              </w:rPr>
              <w:t>种方式</w:t>
            </w:r>
            <w:r>
              <w:rPr>
                <w:rFonts w:hint="eastAsia"/>
                <w:kern w:val="0"/>
                <w:szCs w:val="21"/>
                <w:highlight w:val="none"/>
                <w:lang w:val="en-US" w:eastAsia="zh-CN"/>
              </w:rPr>
              <w:t>（包含焚烧、填埋等）处置量</w:t>
            </w:r>
            <w:r>
              <w:rPr>
                <w:kern w:val="0"/>
                <w:szCs w:val="21"/>
                <w:highlight w:val="none"/>
              </w:rPr>
              <w:t>，</w:t>
            </w:r>
            <w:r>
              <w:rPr>
                <w:rFonts w:ascii="Times New Roman"/>
                <w:szCs w:val="18"/>
                <w:highlight w:val="none"/>
              </w:rPr>
              <w:t>单位</w:t>
            </w:r>
            <w:r>
              <w:rPr>
                <w:rFonts w:hint="eastAsia"/>
                <w:szCs w:val="18"/>
                <w:highlight w:val="none"/>
                <w:lang w:val="en-US" w:eastAsia="zh-CN"/>
              </w:rPr>
              <w:t>为吨（t）</w:t>
            </w:r>
            <w:r>
              <w:rPr>
                <w:kern w:val="0"/>
                <w:szCs w:val="21"/>
                <w:highlight w:val="none"/>
              </w:rPr>
              <w:t>；</w:t>
            </w:r>
          </w:p>
        </w:tc>
      </w:tr>
      <w:tr w14:paraId="625778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1129" w:type="dxa"/>
            <w:vAlign w:val="top"/>
          </w:tcPr>
          <w:p w14:paraId="0F0BB0AC">
            <w:pPr>
              <w:pStyle w:val="27"/>
              <w:spacing w:line="276" w:lineRule="auto"/>
              <w:ind w:firstLine="0" w:firstLineChars="0"/>
              <w:jc w:val="right"/>
              <w:rPr>
                <w:rFonts w:ascii="Times New Roman"/>
                <w:i/>
                <w:iCs/>
                <w:szCs w:val="18"/>
                <w:highlight w:val="none"/>
              </w:rPr>
            </w:pPr>
            <w:r>
              <w:rPr>
                <w:rFonts w:ascii="Times New Roman"/>
                <w:i/>
                <w:iCs/>
                <w:szCs w:val="18"/>
                <w:highlight w:val="none"/>
              </w:rPr>
              <w:t>CEF</w:t>
            </w:r>
            <w:r>
              <w:rPr>
                <w:rFonts w:hint="eastAsia" w:ascii="Times New Roman"/>
                <w:i/>
                <w:iCs/>
                <w:szCs w:val="18"/>
                <w:highlight w:val="none"/>
                <w:vertAlign w:val="subscript"/>
                <w:lang w:val="en-US" w:eastAsia="zh-CN"/>
              </w:rPr>
              <w:t>E3,</w:t>
            </w:r>
            <w:r>
              <w:rPr>
                <w:rFonts w:ascii="Times New Roman"/>
                <w:i/>
                <w:iCs/>
                <w:szCs w:val="18"/>
                <w:highlight w:val="none"/>
                <w:vertAlign w:val="subscript"/>
              </w:rPr>
              <w:t>i,j</w:t>
            </w:r>
          </w:p>
        </w:tc>
        <w:tc>
          <w:tcPr>
            <w:tcW w:w="685" w:type="dxa"/>
          </w:tcPr>
          <w:p w14:paraId="5F9B315B">
            <w:pPr>
              <w:pStyle w:val="27"/>
              <w:spacing w:line="276" w:lineRule="auto"/>
              <w:ind w:firstLine="0" w:firstLineChars="0"/>
              <w:rPr>
                <w:rFonts w:ascii="Times New Roman"/>
                <w:szCs w:val="21"/>
                <w:highlight w:val="none"/>
              </w:rPr>
            </w:pPr>
            <w:r>
              <w:rPr>
                <w:rFonts w:ascii="Times New Roman"/>
                <w:szCs w:val="21"/>
                <w:highlight w:val="none"/>
              </w:rPr>
              <w:t>——</w:t>
            </w:r>
          </w:p>
        </w:tc>
        <w:tc>
          <w:tcPr>
            <w:tcW w:w="8128" w:type="dxa"/>
            <w:vAlign w:val="center"/>
          </w:tcPr>
          <w:p w14:paraId="10A92B79">
            <w:pPr>
              <w:tabs>
                <w:tab w:val="center" w:pos="4338"/>
                <w:tab w:val="right" w:pos="8675"/>
              </w:tabs>
              <w:adjustRightInd w:val="0"/>
              <w:snapToGrid w:val="0"/>
              <w:jc w:val="left"/>
              <w:rPr>
                <w:rFonts w:ascii="Times New Roman"/>
                <w:iCs/>
                <w:szCs w:val="18"/>
                <w:highlight w:val="none"/>
              </w:rPr>
            </w:pPr>
            <w:r>
              <w:rPr>
                <w:rFonts w:ascii="Times New Roman"/>
                <w:szCs w:val="18"/>
                <w:highlight w:val="none"/>
              </w:rPr>
              <w:t>第</w:t>
            </w:r>
            <w:r>
              <w:rPr>
                <w:rFonts w:ascii="Times New Roman"/>
                <w:i/>
                <w:iCs/>
                <w:szCs w:val="21"/>
                <w:highlight w:val="none"/>
              </w:rPr>
              <w:t>j</w:t>
            </w:r>
            <w:r>
              <w:rPr>
                <w:rFonts w:ascii="Times New Roman"/>
                <w:szCs w:val="18"/>
                <w:highlight w:val="none"/>
              </w:rPr>
              <w:t>种</w:t>
            </w:r>
            <w:r>
              <w:rPr>
                <w:rFonts w:hint="eastAsia"/>
                <w:szCs w:val="18"/>
                <w:highlight w:val="none"/>
                <w:lang w:val="en-US" w:eastAsia="zh-CN"/>
              </w:rPr>
              <w:t>处置方式</w:t>
            </w:r>
            <w:r>
              <w:rPr>
                <w:rFonts w:ascii="Times New Roman"/>
                <w:szCs w:val="18"/>
                <w:highlight w:val="none"/>
              </w:rPr>
              <w:t>的第</w:t>
            </w:r>
            <w:r>
              <w:rPr>
                <w:rFonts w:ascii="Times New Roman"/>
                <w:i/>
                <w:iCs/>
                <w:szCs w:val="21"/>
                <w:highlight w:val="none"/>
              </w:rPr>
              <w:t>i</w:t>
            </w:r>
            <w:r>
              <w:rPr>
                <w:rFonts w:ascii="Times New Roman"/>
                <w:szCs w:val="18"/>
                <w:highlight w:val="none"/>
              </w:rPr>
              <w:t>种温室气体排放因子，单位</w:t>
            </w:r>
            <w:r>
              <w:rPr>
                <w:rFonts w:hint="eastAsia"/>
                <w:szCs w:val="18"/>
                <w:highlight w:val="none"/>
                <w:lang w:val="en-US" w:eastAsia="zh-CN"/>
              </w:rPr>
              <w:t>为千克每吨（kg/t）</w:t>
            </w:r>
            <w:r>
              <w:rPr>
                <w:rFonts w:hint="eastAsia"/>
                <w:szCs w:val="18"/>
                <w:highlight w:val="none"/>
                <w:lang w:eastAsia="zh-CN"/>
              </w:rPr>
              <w:t>。</w:t>
            </w:r>
          </w:p>
        </w:tc>
      </w:tr>
    </w:tbl>
    <w:p w14:paraId="471B7B8A">
      <w:pPr>
        <w:pStyle w:val="47"/>
        <w:numPr>
          <w:ilvl w:val="2"/>
          <w:numId w:val="11"/>
        </w:numPr>
        <w:adjustRightInd w:val="0"/>
        <w:snapToGrid w:val="0"/>
        <w:spacing w:beforeLines="0" w:afterLines="0" w:line="360" w:lineRule="exact"/>
        <w:ind w:left="0" w:firstLine="0"/>
        <w:jc w:val="both"/>
        <w:outlineLvl w:val="9"/>
        <w:rPr>
          <w:rFonts w:hint="eastAsia" w:ascii="Times New Roman" w:eastAsia="宋体"/>
        </w:rPr>
      </w:pPr>
      <w:r>
        <w:rPr>
          <w:rFonts w:hint="eastAsia" w:ascii="Times New Roman" w:eastAsia="宋体"/>
        </w:rPr>
        <w:t>利废原料的处理原则</w:t>
      </w:r>
    </w:p>
    <w:p w14:paraId="67E02A9E">
      <w:pPr>
        <w:pStyle w:val="27"/>
        <w:rPr>
          <w:rFonts w:hint="default" w:hAnsi="Times New Roman" w:cs="Times New Roman"/>
          <w:color w:val="auto"/>
          <w:lang w:val="en-US" w:eastAsia="zh-CN"/>
        </w:rPr>
      </w:pPr>
      <w:r>
        <w:rPr>
          <w:rFonts w:ascii="Times New Roman" w:eastAsia="宋体"/>
        </w:rPr>
        <w:t>如使用的利废原料来自于本产品系统（如</w:t>
      </w:r>
      <w:r>
        <w:rPr>
          <w:rFonts w:hint="eastAsia" w:ascii="Times New Roman" w:eastAsia="宋体"/>
          <w:lang w:val="en-US" w:eastAsia="zh-CN"/>
        </w:rPr>
        <w:t>涂料生产</w:t>
      </w:r>
      <w:r>
        <w:rPr>
          <w:rFonts w:ascii="Times New Roman" w:eastAsia="宋体"/>
        </w:rPr>
        <w:t>过程中产生的</w:t>
      </w:r>
      <w:r>
        <w:rPr>
          <w:rFonts w:hint="eastAsia" w:ascii="Times New Roman" w:eastAsia="宋体"/>
          <w:lang w:val="en-US" w:eastAsia="zh-CN"/>
        </w:rPr>
        <w:t>废料</w:t>
      </w:r>
      <w:r>
        <w:rPr>
          <w:rFonts w:ascii="Times New Roman" w:eastAsia="宋体"/>
        </w:rPr>
        <w:t>再次回用于生产过程），温室气体排放因子按0计算。如使用的利废原料来自于不同产品系统，温室气体排放因子应依据上游产品系统边界的分配原则计算。</w:t>
      </w:r>
    </w:p>
    <w:p w14:paraId="5D29541B">
      <w:pPr>
        <w:pStyle w:val="47"/>
        <w:numPr>
          <w:ilvl w:val="1"/>
          <w:numId w:val="11"/>
        </w:numPr>
        <w:adjustRightInd w:val="0"/>
        <w:snapToGrid w:val="0"/>
        <w:spacing w:before="120" w:after="120" w:line="360" w:lineRule="exact"/>
        <w:ind w:left="420" w:hanging="420" w:hangingChars="200"/>
        <w:jc w:val="both"/>
        <w:outlineLvl w:val="1"/>
        <w:rPr>
          <w:rFonts w:hint="eastAsia" w:ascii="Times New Roman"/>
          <w:color w:val="000000"/>
        </w:rPr>
      </w:pPr>
      <w:r>
        <w:rPr>
          <w:rFonts w:hint="eastAsia" w:ascii="Times New Roman"/>
          <w:color w:val="000000"/>
        </w:rPr>
        <w:t>附加环境信息</w:t>
      </w:r>
    </w:p>
    <w:p w14:paraId="020A767F">
      <w:pPr>
        <w:pStyle w:val="47"/>
        <w:numPr>
          <w:ilvl w:val="2"/>
          <w:numId w:val="11"/>
        </w:numPr>
        <w:adjustRightInd w:val="0"/>
        <w:snapToGrid w:val="0"/>
        <w:spacing w:beforeLines="0" w:afterLines="0" w:line="360" w:lineRule="exact"/>
        <w:ind w:left="0" w:firstLine="0"/>
        <w:jc w:val="both"/>
        <w:outlineLvl w:val="9"/>
        <w:rPr>
          <w:rFonts w:ascii="Times New Roman" w:eastAsia="宋体"/>
          <w:highlight w:val="none"/>
        </w:rPr>
      </w:pPr>
      <w:r>
        <w:rPr>
          <w:rFonts w:hint="eastAsia" w:ascii="Times New Roman" w:hAnsi="Times New Roman" w:eastAsia="宋体" w:cs="Times New Roman"/>
          <w:lang w:val="en-US" w:eastAsia="zh-CN"/>
        </w:rPr>
        <w:t>除本文</w:t>
      </w:r>
      <w:r>
        <w:rPr>
          <w:rFonts w:hint="eastAsia" w:ascii="Times New Roman" w:hAnsi="Times New Roman" w:eastAsia="宋体" w:cs="Times New Roman"/>
          <w:highlight w:val="none"/>
          <w:lang w:val="en-US" w:eastAsia="zh-CN"/>
        </w:rPr>
        <w:t>件7.1中涉</w:t>
      </w:r>
      <w:r>
        <w:rPr>
          <w:rFonts w:hint="eastAsia" w:ascii="Times New Roman" w:hAnsi="Times New Roman" w:eastAsia="宋体" w:cs="Times New Roman"/>
          <w:lang w:val="en-US" w:eastAsia="zh-CN"/>
        </w:rPr>
        <w:t>及的产品碳足迹或产品部分碳足迹量化结果外，其他相关的重要信息，宜在附加环境信息中描述，如生物碳含量</w:t>
      </w:r>
      <w:r>
        <w:rPr>
          <w:rFonts w:ascii="Times New Roman" w:eastAsia="宋体"/>
        </w:rPr>
        <w:t>。</w:t>
      </w:r>
    </w:p>
    <w:p w14:paraId="00CB2F6C">
      <w:pPr>
        <w:pStyle w:val="47"/>
        <w:numPr>
          <w:ilvl w:val="2"/>
          <w:numId w:val="11"/>
        </w:numPr>
        <w:adjustRightInd w:val="0"/>
        <w:snapToGrid w:val="0"/>
        <w:spacing w:beforeLines="0" w:afterLines="0" w:line="360" w:lineRule="exact"/>
        <w:ind w:left="0" w:firstLine="0"/>
        <w:jc w:val="both"/>
        <w:outlineLvl w:val="9"/>
        <w:rPr>
          <w:rFonts w:ascii="Times New Roman" w:eastAsia="宋体"/>
        </w:rPr>
      </w:pPr>
      <w:r>
        <w:rPr>
          <w:rFonts w:hint="eastAsia" w:ascii="Times New Roman" w:hAnsi="Times New Roman" w:eastAsia="宋体" w:cs="Times New Roman"/>
          <w:lang w:val="en-US" w:eastAsia="zh-CN"/>
        </w:rPr>
        <w:t>产品中生物碳含量的声明应满足以下要求</w:t>
      </w:r>
      <w:r>
        <w:rPr>
          <w:rFonts w:ascii="Times New Roman" w:eastAsia="宋体"/>
        </w:rPr>
        <w:t>：</w:t>
      </w:r>
    </w:p>
    <w:p w14:paraId="11A2728F">
      <w:pPr>
        <w:pStyle w:val="51"/>
        <w:keepNext w:val="0"/>
        <w:keepLines w:val="0"/>
        <w:pageBreakBefore w:val="0"/>
        <w:numPr>
          <w:ilvl w:val="0"/>
          <w:numId w:val="0"/>
        </w:numPr>
        <w:kinsoku/>
        <w:wordWrap/>
        <w:overflowPunct/>
        <w:topLinePunct w:val="0"/>
        <w:autoSpaceDE/>
        <w:autoSpaceDN/>
        <w:bidi w:val="0"/>
        <w:adjustRightInd/>
        <w:snapToGrid/>
        <w:spacing w:before="0" w:beforeLines="0" w:after="0" w:afterLines="0" w:line="240" w:lineRule="auto"/>
        <w:ind w:leftChars="0" w:firstLine="420" w:firstLineChars="200"/>
        <w:textAlignment w:val="auto"/>
        <w:rPr>
          <w:rFonts w:hint="eastAsia" w:ascii="Times New Roman" w:hAnsi="Times New Roman" w:eastAsia="宋体" w:cs="Times New Roman"/>
          <w:lang w:val="en-US" w:eastAsia="zh-CN"/>
        </w:rPr>
      </w:pPr>
      <w:r>
        <w:rPr>
          <w:rFonts w:hint="eastAsia" w:ascii="Times New Roman"/>
          <w:highlight w:val="none"/>
        </w:rPr>
        <w:t>a</w:t>
      </w:r>
      <w:r>
        <w:rPr>
          <w:rFonts w:ascii="Times New Roman"/>
          <w:highlight w:val="none"/>
        </w:rPr>
        <w:t>）</w:t>
      </w:r>
      <w:r>
        <w:rPr>
          <w:rFonts w:hint="eastAsia" w:ascii="Times New Roman" w:hAnsi="Times New Roman" w:eastAsia="宋体" w:cs="Times New Roman"/>
          <w:lang w:val="en-US" w:eastAsia="zh-CN"/>
        </w:rPr>
        <w:t>当系统边界为“A-E”时，不应单独声明产品中的生物碳含量；</w:t>
      </w:r>
    </w:p>
    <w:p w14:paraId="38E529A1">
      <w:pPr>
        <w:pStyle w:val="27"/>
        <w:spacing w:line="276" w:lineRule="auto"/>
        <w:rPr>
          <w:rFonts w:ascii="Times New Roman"/>
          <w:highlight w:val="none"/>
        </w:rPr>
      </w:pPr>
      <w:r>
        <w:rPr>
          <w:rFonts w:hint="eastAsia" w:ascii="Times New Roman" w:hAnsi="Times New Roman" w:eastAsia="宋体" w:cs="Times New Roman"/>
          <w:lang w:val="en-US" w:eastAsia="zh-CN"/>
        </w:rPr>
        <w:t>b）当系统边界仅包括部分生命周期阶段，如“A-B”时，应单独记录产品中的生物碳含量，不应纳入产品碳足迹或产品部分碳足迹的结果，且应在产品碳足迹报告中说明并证明其生物碳含量</w:t>
      </w:r>
      <w:r>
        <w:rPr>
          <w:rFonts w:ascii="Times New Roman"/>
          <w:highlight w:val="none"/>
        </w:rPr>
        <w:t>。</w:t>
      </w:r>
    </w:p>
    <w:p w14:paraId="3A28EEC8">
      <w:pPr>
        <w:pStyle w:val="50"/>
        <w:numPr>
          <w:ilvl w:val="0"/>
          <w:numId w:val="11"/>
        </w:numPr>
        <w:adjustRightInd w:val="0"/>
        <w:snapToGrid w:val="0"/>
        <w:spacing w:before="120" w:beforeLines="50" w:after="120" w:afterLines="50" w:line="360" w:lineRule="exact"/>
        <w:ind w:left="284" w:hanging="284"/>
        <w:outlineLvl w:val="0"/>
        <w:rPr>
          <w:rFonts w:ascii="黑体" w:hAnsi="黑体" w:eastAsia="黑体"/>
          <w:b w:val="0"/>
          <w:bCs w:val="0"/>
          <w:szCs w:val="21"/>
        </w:rPr>
      </w:pPr>
      <w:bookmarkStart w:id="33" w:name="_Toc29532"/>
      <w:bookmarkStart w:id="34" w:name="_Toc25868"/>
      <w:bookmarkStart w:id="35" w:name="_Toc8306"/>
      <w:r>
        <w:rPr>
          <w:rFonts w:ascii="黑体" w:hAnsi="黑体" w:eastAsia="黑体"/>
          <w:b w:val="0"/>
          <w:bCs w:val="0"/>
          <w:szCs w:val="21"/>
        </w:rPr>
        <w:t>结果解释</w:t>
      </w:r>
      <w:bookmarkEnd w:id="33"/>
      <w:bookmarkEnd w:id="34"/>
      <w:bookmarkEnd w:id="35"/>
    </w:p>
    <w:p w14:paraId="4B4993B6">
      <w:pPr>
        <w:pStyle w:val="47"/>
        <w:numPr>
          <w:ilvl w:val="1"/>
          <w:numId w:val="11"/>
        </w:numPr>
        <w:adjustRightInd w:val="0"/>
        <w:snapToGrid w:val="0"/>
        <w:spacing w:before="120" w:after="120" w:line="360" w:lineRule="exact"/>
        <w:ind w:left="420" w:hanging="420" w:hangingChars="200"/>
        <w:jc w:val="both"/>
        <w:outlineLvl w:val="1"/>
        <w:rPr>
          <w:rFonts w:hint="default" w:ascii="Times New Roman" w:hAnsi="Times New Roman" w:eastAsia="宋体" w:cs="Times New Roman"/>
          <w:szCs w:val="20"/>
          <w:highlight w:val="none"/>
        </w:rPr>
      </w:pPr>
      <w:r>
        <w:rPr>
          <w:rFonts w:hint="default" w:ascii="Times New Roman" w:hAnsi="Times New Roman" w:eastAsia="宋体" w:cs="Times New Roman"/>
          <w:b w:val="0"/>
          <w:bCs w:val="0"/>
          <w:szCs w:val="20"/>
          <w:highlight w:val="none"/>
        </w:rPr>
        <w:t>产品碳足迹研究的生命周期结果解释阶段应包括以下步骤：</w:t>
      </w:r>
    </w:p>
    <w:p w14:paraId="09ED6413">
      <w:pPr>
        <w:pStyle w:val="27"/>
        <w:spacing w:line="276" w:lineRule="auto"/>
        <w:rPr>
          <w:rFonts w:ascii="Times New Roman"/>
          <w:highlight w:val="none"/>
        </w:rPr>
      </w:pPr>
      <w:r>
        <w:rPr>
          <w:rFonts w:ascii="Times New Roman"/>
          <w:highlight w:val="none"/>
        </w:rPr>
        <w:t>a) 根据生命周期清单分析和生命周期影响评价的产品碳足迹和产品部分碳足迹的量化结果，识别显著环节（可包括生命周期阶段、单元过程或流）；</w:t>
      </w:r>
    </w:p>
    <w:p w14:paraId="2E627EF2">
      <w:pPr>
        <w:pStyle w:val="27"/>
        <w:spacing w:line="276" w:lineRule="auto"/>
        <w:rPr>
          <w:rFonts w:ascii="Times New Roman"/>
          <w:highlight w:val="none"/>
        </w:rPr>
      </w:pPr>
      <w:r>
        <w:rPr>
          <w:rFonts w:ascii="Times New Roman"/>
          <w:highlight w:val="none"/>
        </w:rPr>
        <w:t>b) 完整性、一致性和敏感性分析的评估；</w:t>
      </w:r>
    </w:p>
    <w:p w14:paraId="1B2DF54B">
      <w:pPr>
        <w:pStyle w:val="27"/>
        <w:spacing w:line="276" w:lineRule="auto"/>
        <w:rPr>
          <w:rFonts w:ascii="Times New Roman"/>
          <w:highlight w:val="none"/>
        </w:rPr>
      </w:pPr>
      <w:r>
        <w:rPr>
          <w:rFonts w:ascii="Times New Roman"/>
          <w:highlight w:val="none"/>
        </w:rPr>
        <w:t>c) 结论、局限性和建议的编制。</w:t>
      </w:r>
    </w:p>
    <w:p w14:paraId="2F649975">
      <w:pPr>
        <w:pStyle w:val="47"/>
        <w:numPr>
          <w:ilvl w:val="1"/>
          <w:numId w:val="11"/>
        </w:numPr>
        <w:adjustRightInd w:val="0"/>
        <w:snapToGrid w:val="0"/>
        <w:spacing w:before="120" w:after="120" w:line="360" w:lineRule="exact"/>
        <w:ind w:left="420" w:hanging="420" w:hangingChars="200"/>
        <w:jc w:val="both"/>
        <w:outlineLvl w:val="1"/>
        <w:rPr>
          <w:rFonts w:hint="default" w:ascii="Times New Roman" w:hAnsi="Times New Roman" w:eastAsia="宋体" w:cs="Times New Roman"/>
          <w:szCs w:val="20"/>
          <w:highlight w:val="none"/>
        </w:rPr>
      </w:pPr>
      <w:r>
        <w:rPr>
          <w:rFonts w:hint="default" w:ascii="Times New Roman" w:hAnsi="Times New Roman" w:eastAsia="宋体" w:cs="Times New Roman"/>
          <w:szCs w:val="20"/>
          <w:highlight w:val="none"/>
        </w:rPr>
        <w:t>应根据产品碳足迹研究的目的和范围进行结果解释，解释应包括以下内容：</w:t>
      </w:r>
    </w:p>
    <w:p w14:paraId="4064F4A9">
      <w:pPr>
        <w:pStyle w:val="27"/>
        <w:spacing w:line="276" w:lineRule="auto"/>
        <w:rPr>
          <w:rFonts w:ascii="Times New Roman"/>
          <w:highlight w:val="none"/>
        </w:rPr>
      </w:pPr>
      <w:r>
        <w:rPr>
          <w:rFonts w:ascii="Times New Roman"/>
          <w:highlight w:val="none"/>
        </w:rPr>
        <w:t>——说明产品碳足迹和各生命周期阶段的碳足迹；</w:t>
      </w:r>
    </w:p>
    <w:p w14:paraId="1DB8AD25">
      <w:pPr>
        <w:pStyle w:val="27"/>
        <w:spacing w:line="276" w:lineRule="auto"/>
        <w:rPr>
          <w:rFonts w:ascii="Times New Roman"/>
          <w:highlight w:val="none"/>
        </w:rPr>
      </w:pPr>
      <w:r>
        <w:rPr>
          <w:rFonts w:ascii="Times New Roman"/>
          <w:highlight w:val="none"/>
        </w:rPr>
        <w:t>——分析不确定性，包括取舍准则的应用或范围；</w:t>
      </w:r>
    </w:p>
    <w:p w14:paraId="7D303304">
      <w:pPr>
        <w:pStyle w:val="27"/>
        <w:spacing w:line="276" w:lineRule="auto"/>
        <w:rPr>
          <w:rFonts w:ascii="Times New Roman"/>
          <w:highlight w:val="none"/>
        </w:rPr>
      </w:pPr>
      <w:r>
        <w:rPr>
          <w:rFonts w:ascii="Times New Roman"/>
          <w:highlight w:val="none"/>
        </w:rPr>
        <w:t>——详细记录选定的分配程序；</w:t>
      </w:r>
    </w:p>
    <w:p w14:paraId="159A2706">
      <w:pPr>
        <w:pStyle w:val="27"/>
        <w:spacing w:line="276" w:lineRule="auto"/>
        <w:rPr>
          <w:rFonts w:ascii="Times New Roman"/>
          <w:highlight w:val="none"/>
        </w:rPr>
      </w:pPr>
      <w:r>
        <w:rPr>
          <w:rFonts w:ascii="Times New Roman"/>
          <w:highlight w:val="none"/>
        </w:rPr>
        <w:t>——说明产品碳足迹研究的局限性。</w:t>
      </w:r>
    </w:p>
    <w:p w14:paraId="12BC99F8">
      <w:pPr>
        <w:pStyle w:val="47"/>
        <w:numPr>
          <w:ilvl w:val="1"/>
          <w:numId w:val="11"/>
        </w:numPr>
        <w:adjustRightInd w:val="0"/>
        <w:snapToGrid w:val="0"/>
        <w:spacing w:before="120" w:after="120" w:line="360" w:lineRule="exact"/>
        <w:ind w:left="420" w:hanging="420" w:hangingChars="200"/>
        <w:jc w:val="both"/>
        <w:outlineLvl w:val="1"/>
        <w:rPr>
          <w:rFonts w:hint="default" w:ascii="Times New Roman" w:hAnsi="Times New Roman" w:eastAsia="宋体" w:cs="Times New Roman"/>
          <w:szCs w:val="20"/>
          <w:highlight w:val="none"/>
        </w:rPr>
      </w:pPr>
      <w:r>
        <w:rPr>
          <w:rFonts w:hint="default" w:ascii="Times New Roman" w:hAnsi="Times New Roman" w:eastAsia="宋体" w:cs="Times New Roman"/>
          <w:szCs w:val="20"/>
          <w:highlight w:val="none"/>
          <w:lang w:val="en-US" w:eastAsia="zh-CN"/>
        </w:rPr>
        <w:t>应开展数据质量评价，宜按公开方法评价数据质量，也可参考附录</w:t>
      </w:r>
      <w:r>
        <w:rPr>
          <w:rFonts w:hint="eastAsia" w:ascii="Times New Roman" w:eastAsia="宋体" w:cs="Times New Roman"/>
          <w:szCs w:val="20"/>
          <w:highlight w:val="none"/>
          <w:lang w:val="en-US" w:eastAsia="zh-CN"/>
        </w:rPr>
        <w:t>E</w:t>
      </w:r>
      <w:r>
        <w:rPr>
          <w:rFonts w:hint="default" w:ascii="Times New Roman" w:hAnsi="Times New Roman" w:eastAsia="宋体" w:cs="Times New Roman"/>
          <w:szCs w:val="20"/>
          <w:highlight w:val="none"/>
          <w:lang w:val="en-US" w:eastAsia="zh-CN"/>
        </w:rPr>
        <w:t>。</w:t>
      </w:r>
    </w:p>
    <w:p w14:paraId="3DD71DA6">
      <w:pPr>
        <w:pStyle w:val="50"/>
        <w:numPr>
          <w:ilvl w:val="0"/>
          <w:numId w:val="11"/>
        </w:numPr>
        <w:adjustRightInd w:val="0"/>
        <w:snapToGrid w:val="0"/>
        <w:spacing w:before="120" w:beforeLines="50" w:after="120" w:afterLines="50" w:line="360" w:lineRule="exact"/>
        <w:ind w:left="284" w:hanging="284"/>
        <w:outlineLvl w:val="0"/>
        <w:rPr>
          <w:rFonts w:ascii="黑体" w:hAnsi="黑体" w:eastAsia="黑体"/>
          <w:b w:val="0"/>
          <w:bCs w:val="0"/>
          <w:szCs w:val="21"/>
        </w:rPr>
      </w:pPr>
      <w:bookmarkStart w:id="36" w:name="_Toc17282"/>
      <w:bookmarkStart w:id="37" w:name="_Toc11127"/>
      <w:bookmarkStart w:id="38" w:name="_Toc7229"/>
      <w:r>
        <w:rPr>
          <w:rFonts w:ascii="黑体" w:hAnsi="黑体" w:eastAsia="黑体"/>
          <w:b w:val="0"/>
          <w:bCs w:val="0"/>
          <w:szCs w:val="21"/>
        </w:rPr>
        <w:t>鉴定性评审</w:t>
      </w:r>
      <w:bookmarkEnd w:id="36"/>
      <w:bookmarkEnd w:id="37"/>
      <w:bookmarkEnd w:id="38"/>
    </w:p>
    <w:p w14:paraId="5BF935C2">
      <w:pPr>
        <w:pStyle w:val="50"/>
        <w:numPr>
          <w:ilvl w:val="0"/>
          <w:numId w:val="0"/>
        </w:numPr>
        <w:spacing w:before="156" w:beforeLines="50" w:afterLines="0" w:line="276" w:lineRule="auto"/>
        <w:ind w:firstLine="420" w:firstLineChars="200"/>
        <w:outlineLvl w:val="9"/>
        <w:rPr>
          <w:rFonts w:ascii="Times New Roman" w:eastAsia="宋体"/>
          <w:kern w:val="2"/>
          <w:szCs w:val="24"/>
          <w:highlight w:val="none"/>
        </w:rPr>
      </w:pPr>
      <w:r>
        <w:rPr>
          <w:rFonts w:ascii="Times New Roman" w:eastAsia="宋体"/>
          <w:kern w:val="2"/>
          <w:szCs w:val="24"/>
          <w:highlight w:val="none"/>
        </w:rPr>
        <w:t>如果开展产品碳足迹研究的鉴定性评审，应按照ISO 14071规定进行，有利于理解产品碳足迹报告，并提高结果的可信度。</w:t>
      </w:r>
    </w:p>
    <w:p w14:paraId="4CB27CB3">
      <w:pPr>
        <w:pStyle w:val="50"/>
        <w:numPr>
          <w:ilvl w:val="0"/>
          <w:numId w:val="11"/>
        </w:numPr>
        <w:adjustRightInd w:val="0"/>
        <w:snapToGrid w:val="0"/>
        <w:spacing w:before="120" w:beforeLines="50" w:after="120" w:afterLines="50" w:line="360" w:lineRule="exact"/>
        <w:ind w:left="284" w:hanging="284"/>
        <w:outlineLvl w:val="0"/>
        <w:rPr>
          <w:rFonts w:ascii="黑体" w:hAnsi="黑体" w:eastAsia="黑体"/>
          <w:b w:val="0"/>
          <w:bCs w:val="0"/>
          <w:kern w:val="0"/>
          <w:szCs w:val="21"/>
        </w:rPr>
      </w:pPr>
      <w:bookmarkStart w:id="39" w:name="_Toc17052"/>
      <w:bookmarkStart w:id="40" w:name="_Toc23232"/>
      <w:bookmarkStart w:id="41" w:name="_Toc24016"/>
      <w:r>
        <w:rPr>
          <w:rFonts w:hint="default" w:ascii="黑体" w:hAnsi="黑体" w:eastAsia="黑体"/>
          <w:b w:val="0"/>
          <w:bCs w:val="0"/>
          <w:kern w:val="0"/>
          <w:szCs w:val="21"/>
          <w:lang w:val="en-US" w:eastAsia="zh-CN"/>
        </w:rPr>
        <w:t>可比性</w:t>
      </w:r>
      <w:bookmarkEnd w:id="39"/>
      <w:bookmarkEnd w:id="40"/>
      <w:bookmarkEnd w:id="41"/>
    </w:p>
    <w:p w14:paraId="142FD3E1">
      <w:pPr>
        <w:pStyle w:val="50"/>
        <w:numPr>
          <w:ilvl w:val="0"/>
          <w:numId w:val="0"/>
        </w:numPr>
        <w:spacing w:before="156" w:beforeLines="50" w:afterLines="0" w:line="276" w:lineRule="auto"/>
        <w:ind w:firstLine="420" w:firstLineChars="200"/>
        <w:outlineLvl w:val="9"/>
        <w:rPr>
          <w:rFonts w:ascii="Times New Roman" w:eastAsia="宋体"/>
          <w:kern w:val="2"/>
          <w:szCs w:val="24"/>
          <w:highlight w:val="none"/>
        </w:rPr>
      </w:pPr>
      <w:r>
        <w:rPr>
          <w:rFonts w:ascii="Times New Roman" w:eastAsia="宋体"/>
          <w:kern w:val="2"/>
          <w:szCs w:val="24"/>
          <w:highlight w:val="none"/>
        </w:rPr>
        <w:t>产品碳足迹量化结果的对比，应在满足以下所有条件时进行：</w:t>
      </w:r>
    </w:p>
    <w:p w14:paraId="3081E17B">
      <w:pPr>
        <w:pStyle w:val="152"/>
        <w:numPr>
          <w:ilvl w:val="0"/>
          <w:numId w:val="22"/>
        </w:numPr>
        <w:spacing w:line="276" w:lineRule="auto"/>
        <w:ind w:firstLineChars="0"/>
        <w:rPr>
          <w:rFonts w:ascii="Times New Roman" w:hAnsi="Times New Roman" w:eastAsia="宋体" w:cs="Times New Roman"/>
          <w:szCs w:val="21"/>
          <w:highlight w:val="none"/>
        </w:rPr>
      </w:pPr>
      <w:r>
        <w:rPr>
          <w:rFonts w:ascii="Times New Roman" w:hAnsi="Times New Roman" w:eastAsia="宋体" w:cs="Times New Roman"/>
          <w:szCs w:val="21"/>
          <w:highlight w:val="none"/>
        </w:rPr>
        <w:t>产品功能、技术性能和用途是相同的；</w:t>
      </w:r>
    </w:p>
    <w:p w14:paraId="215A38DC">
      <w:pPr>
        <w:pStyle w:val="152"/>
        <w:numPr>
          <w:ilvl w:val="0"/>
          <w:numId w:val="22"/>
        </w:numPr>
        <w:spacing w:line="276" w:lineRule="auto"/>
        <w:ind w:firstLineChars="0"/>
        <w:rPr>
          <w:rFonts w:ascii="Times New Roman" w:hAnsi="Times New Roman" w:eastAsia="宋体" w:cs="Times New Roman"/>
          <w:szCs w:val="21"/>
          <w:highlight w:val="none"/>
        </w:rPr>
      </w:pPr>
      <w:r>
        <w:rPr>
          <w:rFonts w:ascii="Times New Roman" w:hAnsi="Times New Roman" w:eastAsia="宋体" w:cs="Times New Roman"/>
          <w:szCs w:val="21"/>
          <w:highlight w:val="none"/>
        </w:rPr>
        <w:t>功能单位是相同的，系统边界的选取是等同的；</w:t>
      </w:r>
    </w:p>
    <w:p w14:paraId="7A0E4D32">
      <w:pPr>
        <w:pStyle w:val="152"/>
        <w:numPr>
          <w:ilvl w:val="0"/>
          <w:numId w:val="22"/>
        </w:numPr>
        <w:spacing w:line="276" w:lineRule="auto"/>
        <w:ind w:firstLineChars="0"/>
        <w:rPr>
          <w:rFonts w:ascii="Times New Roman" w:hAnsi="Times New Roman" w:eastAsia="宋体" w:cs="Times New Roman"/>
          <w:szCs w:val="21"/>
          <w:highlight w:val="none"/>
        </w:rPr>
      </w:pPr>
      <w:r>
        <w:rPr>
          <w:rFonts w:ascii="Times New Roman" w:hAnsi="Times New Roman" w:eastAsia="宋体" w:cs="Times New Roman"/>
          <w:szCs w:val="21"/>
          <w:highlight w:val="none"/>
        </w:rPr>
        <w:t>数据的收集与确认是等同的（包括数据的描述、取舍准则、数据质量要求）</w:t>
      </w:r>
      <w:r>
        <w:rPr>
          <w:rFonts w:hint="eastAsia" w:ascii="Times New Roman" w:hAnsi="Times New Roman" w:eastAsia="宋体" w:cs="Times New Roman"/>
          <w:szCs w:val="21"/>
          <w:highlight w:val="none"/>
          <w:lang w:eastAsia="zh-CN"/>
        </w:rPr>
        <w:t>；</w:t>
      </w:r>
    </w:p>
    <w:p w14:paraId="4A73E3B6">
      <w:pPr>
        <w:pStyle w:val="152"/>
        <w:numPr>
          <w:ilvl w:val="0"/>
          <w:numId w:val="22"/>
        </w:numPr>
        <w:spacing w:line="276" w:lineRule="auto"/>
        <w:ind w:firstLineChars="0"/>
        <w:rPr>
          <w:rFonts w:ascii="Times New Roman" w:hAnsi="Times New Roman" w:eastAsia="宋体" w:cs="Times New Roman"/>
          <w:szCs w:val="21"/>
          <w:highlight w:val="none"/>
        </w:rPr>
      </w:pPr>
      <w:r>
        <w:rPr>
          <w:rFonts w:ascii="Times New Roman" w:hAnsi="Times New Roman" w:eastAsia="宋体" w:cs="Times New Roman"/>
          <w:szCs w:val="21"/>
          <w:highlight w:val="none"/>
        </w:rPr>
        <w:t>产品碳足迹的量化方法是相同的（包括数据审定、分配和产品碳足迹影响评价）</w:t>
      </w:r>
      <w:r>
        <w:rPr>
          <w:rFonts w:hint="eastAsia" w:ascii="Times New Roman" w:hAnsi="Times New Roman" w:eastAsia="宋体" w:cs="Times New Roman"/>
          <w:szCs w:val="21"/>
          <w:highlight w:val="none"/>
          <w:lang w:eastAsia="zh-CN"/>
        </w:rPr>
        <w:t>。</w:t>
      </w:r>
    </w:p>
    <w:p w14:paraId="4351E0B3">
      <w:pPr>
        <w:pStyle w:val="50"/>
        <w:numPr>
          <w:ilvl w:val="0"/>
          <w:numId w:val="11"/>
        </w:numPr>
        <w:adjustRightInd w:val="0"/>
        <w:snapToGrid w:val="0"/>
        <w:spacing w:before="120" w:beforeLines="50" w:after="120" w:afterLines="50" w:line="360" w:lineRule="exact"/>
        <w:ind w:left="284" w:hanging="284"/>
        <w:outlineLvl w:val="0"/>
        <w:rPr>
          <w:rFonts w:ascii="黑体" w:hAnsi="黑体" w:eastAsia="黑体"/>
          <w:b w:val="0"/>
          <w:bCs w:val="0"/>
          <w:szCs w:val="21"/>
        </w:rPr>
      </w:pPr>
      <w:bookmarkStart w:id="42" w:name="_Toc3387"/>
      <w:bookmarkStart w:id="43" w:name="_Toc4246"/>
      <w:bookmarkStart w:id="44" w:name="_Toc21216"/>
      <w:r>
        <w:rPr>
          <w:rFonts w:ascii="黑体" w:hAnsi="黑体" w:eastAsia="黑体"/>
          <w:b w:val="0"/>
          <w:bCs w:val="0"/>
          <w:szCs w:val="21"/>
        </w:rPr>
        <w:t>产品碳足迹绩效追踪</w:t>
      </w:r>
      <w:bookmarkEnd w:id="42"/>
      <w:bookmarkEnd w:id="43"/>
      <w:bookmarkEnd w:id="44"/>
    </w:p>
    <w:p w14:paraId="7A317BD7">
      <w:pPr>
        <w:pStyle w:val="27"/>
        <w:spacing w:line="276" w:lineRule="auto"/>
        <w:rPr>
          <w:rFonts w:ascii="Times New Roman"/>
          <w:highlight w:val="none"/>
        </w:rPr>
      </w:pPr>
      <w:r>
        <w:rPr>
          <w:rFonts w:ascii="Times New Roman"/>
          <w:kern w:val="2"/>
          <w:szCs w:val="24"/>
        </w:rPr>
        <w:t>针对</w:t>
      </w:r>
      <w:r>
        <w:rPr>
          <w:rFonts w:ascii="Times New Roman"/>
          <w:szCs w:val="21"/>
        </w:rPr>
        <w:t>同一组织的某一特定产品</w:t>
      </w:r>
      <w:r>
        <w:rPr>
          <w:rFonts w:ascii="Times New Roman"/>
          <w:kern w:val="2"/>
          <w:szCs w:val="24"/>
        </w:rPr>
        <w:t>，宜基于本文件针对连续的数据统计周期对产品碳足迹进行绩效追踪</w:t>
      </w:r>
      <w:r>
        <w:rPr>
          <w:rFonts w:ascii="Times New Roman"/>
        </w:rPr>
        <w:t>，以改进</w:t>
      </w:r>
      <w:r>
        <w:rPr>
          <w:rFonts w:hint="eastAsia" w:ascii="Times New Roman"/>
          <w:lang w:val="en-US" w:eastAsia="zh-CN"/>
        </w:rPr>
        <w:t>墙面涂料</w:t>
      </w:r>
      <w:r>
        <w:rPr>
          <w:rFonts w:ascii="Times New Roman"/>
        </w:rPr>
        <w:t>产品碳足迹对全球变暖的潜在影响</w:t>
      </w:r>
      <w:r>
        <w:rPr>
          <w:rFonts w:ascii="Times New Roman"/>
          <w:highlight w:val="none"/>
        </w:rPr>
        <w:t>。</w:t>
      </w:r>
    </w:p>
    <w:p w14:paraId="36842ABC">
      <w:pPr>
        <w:pStyle w:val="50"/>
        <w:numPr>
          <w:ilvl w:val="0"/>
          <w:numId w:val="11"/>
        </w:numPr>
        <w:adjustRightInd w:val="0"/>
        <w:snapToGrid w:val="0"/>
        <w:spacing w:before="120" w:beforeLines="50" w:after="120" w:afterLines="50" w:line="360" w:lineRule="exact"/>
        <w:ind w:left="284" w:hanging="284"/>
        <w:outlineLvl w:val="0"/>
        <w:rPr>
          <w:rFonts w:ascii="黑体" w:hAnsi="黑体" w:eastAsia="黑体"/>
          <w:b w:val="0"/>
          <w:bCs w:val="0"/>
          <w:szCs w:val="21"/>
        </w:rPr>
      </w:pPr>
      <w:bookmarkStart w:id="45" w:name="_Toc19810"/>
      <w:bookmarkStart w:id="46" w:name="_Toc28593"/>
      <w:bookmarkStart w:id="47" w:name="_Toc4905"/>
      <w:r>
        <w:rPr>
          <w:rFonts w:ascii="黑体" w:hAnsi="黑体" w:eastAsia="黑体"/>
          <w:b w:val="0"/>
          <w:bCs w:val="0"/>
          <w:szCs w:val="21"/>
        </w:rPr>
        <w:t>产品碳足迹报告</w:t>
      </w:r>
      <w:bookmarkEnd w:id="45"/>
      <w:bookmarkEnd w:id="46"/>
      <w:bookmarkEnd w:id="47"/>
    </w:p>
    <w:p w14:paraId="7E09821D">
      <w:pPr>
        <w:pStyle w:val="47"/>
        <w:keepNext w:val="0"/>
        <w:keepLines w:val="0"/>
        <w:pageBreakBefore w:val="0"/>
        <w:widowControl/>
        <w:numPr>
          <w:ilvl w:val="1"/>
          <w:numId w:val="11"/>
        </w:numPr>
        <w:kinsoku/>
        <w:wordWrap/>
        <w:overflowPunct/>
        <w:topLinePunct w:val="0"/>
        <w:autoSpaceDE/>
        <w:autoSpaceDN/>
        <w:bidi w:val="0"/>
        <w:adjustRightInd w:val="0"/>
        <w:snapToGrid w:val="0"/>
        <w:spacing w:before="120" w:after="120" w:line="360" w:lineRule="exact"/>
        <w:ind w:left="0" w:firstLine="0" w:firstLineChars="0"/>
        <w:jc w:val="both"/>
        <w:textAlignment w:val="auto"/>
        <w:outlineLvl w:val="1"/>
        <w:rPr>
          <w:rFonts w:hint="default" w:ascii="Times New Roman" w:hAnsi="Times New Roman" w:eastAsia="宋体" w:cs="Times New Roman"/>
          <w:szCs w:val="20"/>
          <w:highlight w:val="none"/>
        </w:rPr>
      </w:pPr>
      <w:r>
        <w:rPr>
          <w:rFonts w:hint="default" w:ascii="Times New Roman" w:hAnsi="Times New Roman" w:eastAsia="宋体" w:cs="Times New Roman"/>
          <w:szCs w:val="20"/>
          <w:highlight w:val="none"/>
        </w:rPr>
        <w:t>产品碳足迹宜以报告、声明、证书和（或）标签的形式描述碳足迹量化结果，且应以每功能单位（声明单位）的二氧化碳当量进行表述。若采用产品碳足迹证书和（或）产品碳足迹标签，宜同时出具产品碳足迹报告。如碳足迹量化结果应用于</w:t>
      </w:r>
      <w:r>
        <w:rPr>
          <w:rFonts w:hint="default" w:ascii="Times New Roman" w:hAnsi="Times New Roman" w:eastAsia="宋体" w:cs="Times New Roman"/>
          <w:szCs w:val="20"/>
          <w:highlight w:val="none"/>
          <w:lang w:val="en-US" w:eastAsia="zh-CN"/>
        </w:rPr>
        <w:t>产业链下游</w:t>
      </w:r>
      <w:r>
        <w:rPr>
          <w:rFonts w:hint="default" w:ascii="Times New Roman" w:hAnsi="Times New Roman" w:eastAsia="宋体" w:cs="Times New Roman"/>
          <w:szCs w:val="20"/>
          <w:highlight w:val="none"/>
        </w:rPr>
        <w:t>，则应分别报送产品各生命周期阶段的量化结果，避免碳足迹结果的重复计算。</w:t>
      </w:r>
    </w:p>
    <w:p w14:paraId="6BFD2DFF">
      <w:pPr>
        <w:pStyle w:val="47"/>
        <w:numPr>
          <w:ilvl w:val="1"/>
          <w:numId w:val="11"/>
        </w:numPr>
        <w:adjustRightInd w:val="0"/>
        <w:snapToGrid w:val="0"/>
        <w:spacing w:before="120" w:after="120" w:line="360" w:lineRule="exact"/>
        <w:ind w:left="420" w:hanging="420" w:hangingChars="200"/>
        <w:jc w:val="both"/>
        <w:outlineLvl w:val="1"/>
        <w:rPr>
          <w:rFonts w:hint="eastAsia" w:ascii="宋体" w:hAnsi="宋体" w:eastAsia="宋体" w:cs="宋体"/>
          <w:highlight w:val="none"/>
        </w:rPr>
      </w:pPr>
      <w:r>
        <w:rPr>
          <w:rFonts w:hint="default" w:ascii="Times New Roman" w:hAnsi="Times New Roman" w:eastAsia="宋体" w:cs="Times New Roman"/>
          <w:szCs w:val="20"/>
          <w:highlight w:val="none"/>
        </w:rPr>
        <w:t>依据本文件编制的产品碳足迹报告应符合</w:t>
      </w:r>
      <w:r>
        <w:rPr>
          <w:rFonts w:hint="default" w:ascii="Times New Roman" w:hAnsi="Times New Roman" w:eastAsia="宋体" w:cs="Times New Roman"/>
          <w:szCs w:val="20"/>
          <w:highlight w:val="none"/>
          <w:lang w:val="en-US" w:eastAsia="zh-CN"/>
        </w:rPr>
        <w:t>GB/T 24067-2024</w:t>
      </w:r>
      <w:r>
        <w:rPr>
          <w:rFonts w:hint="eastAsia" w:ascii="Times New Roman" w:eastAsia="宋体" w:cs="Times New Roman"/>
          <w:szCs w:val="20"/>
          <w:highlight w:val="none"/>
          <w:lang w:val="en-US" w:eastAsia="zh-CN"/>
        </w:rPr>
        <w:t>中</w:t>
      </w:r>
      <w:r>
        <w:rPr>
          <w:rFonts w:hint="default" w:ascii="Times New Roman" w:hAnsi="Times New Roman" w:eastAsia="宋体" w:cs="Times New Roman"/>
          <w:szCs w:val="20"/>
          <w:highlight w:val="none"/>
        </w:rPr>
        <w:t>第7章的要求，报告模板见附录</w:t>
      </w:r>
      <w:r>
        <w:rPr>
          <w:rFonts w:hint="eastAsia" w:ascii="Times New Roman" w:eastAsia="宋体" w:cs="Times New Roman"/>
          <w:szCs w:val="20"/>
          <w:highlight w:val="none"/>
          <w:lang w:val="en-US" w:eastAsia="zh-CN"/>
        </w:rPr>
        <w:t>F</w:t>
      </w:r>
      <w:r>
        <w:rPr>
          <w:rFonts w:hint="default" w:ascii="Times New Roman" w:hAnsi="Times New Roman" w:eastAsia="宋体" w:cs="Times New Roman"/>
          <w:szCs w:val="20"/>
          <w:highlight w:val="none"/>
        </w:rPr>
        <w:t>。</w:t>
      </w:r>
      <w:bookmarkEnd w:id="29"/>
      <w:r>
        <w:rPr>
          <w:rFonts w:hint="eastAsia" w:ascii="宋体" w:hAnsi="宋体" w:eastAsia="宋体" w:cs="宋体"/>
          <w:highlight w:val="none"/>
        </w:rPr>
        <w:br w:type="page"/>
      </w:r>
    </w:p>
    <w:p w14:paraId="7DD938DC">
      <w:pPr>
        <w:pStyle w:val="47"/>
        <w:numPr>
          <w:ilvl w:val="1"/>
          <w:numId w:val="23"/>
        </w:numPr>
        <w:spacing w:before="156" w:after="156" w:line="276" w:lineRule="auto"/>
        <w:jc w:val="both"/>
        <w:outlineLvl w:val="1"/>
        <w:rPr>
          <w:rFonts w:hint="eastAsia" w:ascii="宋体" w:hAnsi="宋体" w:eastAsia="宋体" w:cs="宋体"/>
          <w:sz w:val="21"/>
          <w:szCs w:val="21"/>
          <w:highlight w:val="none"/>
        </w:rPr>
        <w:sectPr>
          <w:headerReference r:id="rId11" w:type="first"/>
          <w:footerReference r:id="rId14" w:type="first"/>
          <w:footerReference r:id="rId12" w:type="default"/>
          <w:headerReference r:id="rId10" w:type="even"/>
          <w:footerReference r:id="rId13" w:type="even"/>
          <w:pgSz w:w="11906" w:h="16838"/>
          <w:pgMar w:top="1021" w:right="1134" w:bottom="1021" w:left="1021" w:header="1134" w:footer="1134" w:gutter="0"/>
          <w:pgNumType w:start="1"/>
          <w:cols w:space="425" w:num="1"/>
          <w:formProt w:val="0"/>
          <w:titlePg/>
          <w:docGrid w:type="linesAndChars" w:linePitch="312" w:charSpace="0"/>
        </w:sectPr>
      </w:pPr>
    </w:p>
    <w:p w14:paraId="6950088D">
      <w:pPr>
        <w:adjustRightInd w:val="0"/>
        <w:snapToGrid w:val="0"/>
        <w:spacing w:before="120" w:beforeLines="50" w:after="120" w:afterLines="50" w:line="360" w:lineRule="exact"/>
        <w:jc w:val="center"/>
        <w:outlineLvl w:val="0"/>
        <w:rPr>
          <w:rFonts w:hint="eastAsia" w:ascii="黑体" w:hAnsi="宋体" w:eastAsia="黑体"/>
          <w:sz w:val="21"/>
          <w:szCs w:val="21"/>
          <w:lang w:eastAsia="zh-CN"/>
        </w:rPr>
      </w:pPr>
      <w:bookmarkStart w:id="48" w:name="_Toc26907"/>
      <w:bookmarkStart w:id="49" w:name="_Toc180780457"/>
      <w:bookmarkStart w:id="50" w:name="_Toc18711"/>
      <w:bookmarkStart w:id="51" w:name="_Toc20016"/>
      <w:r>
        <w:rPr>
          <w:rFonts w:ascii="黑体" w:hAnsi="宋体" w:eastAsia="黑体"/>
          <w:sz w:val="21"/>
          <w:szCs w:val="21"/>
        </w:rPr>
        <w:t>附</w:t>
      </w:r>
      <w:r>
        <w:rPr>
          <w:rFonts w:hint="eastAsia" w:ascii="黑体" w:hAnsi="宋体" w:eastAsia="黑体"/>
          <w:sz w:val="21"/>
          <w:szCs w:val="21"/>
        </w:rPr>
        <w:t>录A</w:t>
      </w:r>
      <w:bookmarkEnd w:id="48"/>
    </w:p>
    <w:p w14:paraId="03A5098F">
      <w:pPr>
        <w:adjustRightInd w:val="0"/>
        <w:snapToGrid w:val="0"/>
        <w:spacing w:before="120" w:beforeLines="50" w:after="120" w:afterLines="50" w:line="360" w:lineRule="exact"/>
        <w:jc w:val="center"/>
        <w:outlineLvl w:val="0"/>
        <w:rPr>
          <w:rFonts w:hint="eastAsia" w:ascii="黑体" w:hAnsi="黑体" w:eastAsia="黑体"/>
          <w:sz w:val="21"/>
          <w:szCs w:val="21"/>
          <w:lang w:eastAsia="zh-CN"/>
        </w:rPr>
      </w:pPr>
      <w:bookmarkStart w:id="52" w:name="_Toc12025"/>
      <w:r>
        <w:rPr>
          <w:rFonts w:hint="eastAsia" w:ascii="黑体" w:hAnsi="黑体" w:eastAsia="黑体"/>
          <w:sz w:val="21"/>
          <w:szCs w:val="21"/>
        </w:rPr>
        <w:t>（资料性）</w:t>
      </w:r>
      <w:bookmarkEnd w:id="52"/>
    </w:p>
    <w:p w14:paraId="25379193">
      <w:pPr>
        <w:adjustRightInd w:val="0"/>
        <w:snapToGrid w:val="0"/>
        <w:spacing w:before="120" w:beforeLines="50" w:after="120" w:afterLines="50" w:line="360" w:lineRule="exact"/>
        <w:jc w:val="center"/>
        <w:outlineLvl w:val="0"/>
        <w:rPr>
          <w:sz w:val="21"/>
          <w:szCs w:val="21"/>
        </w:rPr>
      </w:pPr>
      <w:bookmarkStart w:id="53" w:name="_Toc8705"/>
      <w:r>
        <w:rPr>
          <w:rFonts w:hint="eastAsia" w:ascii="黑体" w:hAnsi="黑体" w:eastAsia="黑体"/>
          <w:sz w:val="21"/>
          <w:szCs w:val="21"/>
          <w:lang w:val="en-US" w:eastAsia="zh-CN"/>
        </w:rPr>
        <w:t>典型</w:t>
      </w:r>
      <w:r>
        <w:rPr>
          <w:rFonts w:hint="eastAsia" w:ascii="黑体" w:hAnsi="Times New Roman" w:eastAsia="黑体" w:cs="Times New Roman"/>
          <w:kern w:val="0"/>
          <w:sz w:val="21"/>
          <w:szCs w:val="21"/>
          <w:lang w:val="en-US" w:eastAsia="zh-CN" w:bidi="ar-SA"/>
        </w:rPr>
        <w:t>建筑用墙面涂料</w:t>
      </w:r>
      <w:r>
        <w:rPr>
          <w:rFonts w:hint="eastAsia" w:ascii="黑体" w:hAnsi="黑体" w:eastAsia="黑体"/>
          <w:sz w:val="21"/>
          <w:szCs w:val="21"/>
        </w:rPr>
        <w:t>产品标准</w:t>
      </w:r>
      <w:bookmarkEnd w:id="49"/>
      <w:bookmarkEnd w:id="53"/>
    </w:p>
    <w:p w14:paraId="4AC07B04">
      <w:pPr>
        <w:widowControl/>
        <w:tabs>
          <w:tab w:val="center" w:pos="4201"/>
          <w:tab w:val="right" w:leader="dot" w:pos="9298"/>
        </w:tabs>
        <w:autoSpaceDE w:val="0"/>
        <w:autoSpaceDN w:val="0"/>
        <w:adjustRightInd w:val="0"/>
        <w:snapToGrid w:val="0"/>
        <w:spacing w:line="360" w:lineRule="exact"/>
        <w:ind w:firstLine="420" w:firstLineChars="200"/>
        <w:rPr>
          <w:rFonts w:hint="eastAsia" w:ascii="宋体" w:hAnsi="宋体" w:eastAsia="宋体" w:cs="宋体"/>
        </w:rPr>
      </w:pPr>
      <w:r>
        <w:rPr>
          <w:rFonts w:hint="eastAsia"/>
          <w:kern w:val="0"/>
          <w:szCs w:val="21"/>
          <w:lang w:val="en-US" w:eastAsia="zh-CN"/>
        </w:rPr>
        <w:t>典型建筑用墙面涂料</w:t>
      </w:r>
      <w:r>
        <w:rPr>
          <w:rFonts w:hint="eastAsia"/>
          <w:kern w:val="0"/>
          <w:szCs w:val="21"/>
        </w:rPr>
        <w:t>产品标准见表A.1</w:t>
      </w:r>
      <w:r>
        <w:rPr>
          <w:rFonts w:hint="eastAsia" w:ascii="宋体" w:hAnsi="宋体" w:eastAsia="宋体" w:cs="宋体"/>
        </w:rPr>
        <w:t>。</w:t>
      </w:r>
    </w:p>
    <w:p w14:paraId="1534F39B">
      <w:pPr>
        <w:widowControl/>
        <w:tabs>
          <w:tab w:val="left" w:pos="0"/>
        </w:tabs>
        <w:adjustRightInd w:val="0"/>
        <w:snapToGrid w:val="0"/>
        <w:spacing w:line="360" w:lineRule="exact"/>
        <w:jc w:val="center"/>
        <w:rPr>
          <w:rFonts w:hint="eastAsia" w:ascii="黑体" w:hAnsi="黑体" w:eastAsia="黑体" w:cs="黑体"/>
          <w:kern w:val="0"/>
          <w:szCs w:val="20"/>
        </w:rPr>
      </w:pPr>
      <w:r>
        <w:rPr>
          <w:rFonts w:hint="eastAsia" w:ascii="黑体" w:hAnsi="黑体" w:eastAsia="黑体" w:cs="黑体"/>
          <w:kern w:val="0"/>
          <w:szCs w:val="21"/>
        </w:rPr>
        <w:t xml:space="preserve">表A.1 </w:t>
      </w:r>
      <w:r>
        <w:rPr>
          <w:rFonts w:hint="eastAsia" w:ascii="黑体" w:hAnsi="黑体" w:eastAsia="黑体" w:cs="黑体"/>
          <w:kern w:val="0"/>
          <w:szCs w:val="21"/>
          <w:lang w:val="en-US" w:eastAsia="zh-CN"/>
        </w:rPr>
        <w:t>典型建筑用水性墙面涂料</w:t>
      </w:r>
      <w:r>
        <w:rPr>
          <w:rFonts w:hint="eastAsia" w:ascii="黑体" w:hAnsi="黑体" w:eastAsia="黑体" w:cs="黑体"/>
          <w:kern w:val="0"/>
          <w:szCs w:val="21"/>
        </w:rPr>
        <w:t>产品标准</w:t>
      </w:r>
    </w:p>
    <w:tbl>
      <w:tblPr>
        <w:tblStyle w:val="36"/>
        <w:tblW w:w="4691" w:type="pct"/>
        <w:tblInd w:w="3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1"/>
        <w:gridCol w:w="5185"/>
        <w:gridCol w:w="2795"/>
      </w:tblGrid>
      <w:tr w14:paraId="023BC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3" w:type="pct"/>
            <w:noWrap w:val="0"/>
            <w:vAlign w:val="center"/>
          </w:tcPr>
          <w:p w14:paraId="52C51BA1">
            <w:pPr>
              <w:jc w:val="center"/>
              <w:rPr>
                <w:rFonts w:hint="default" w:ascii="Times New Roman" w:hAnsi="Times New Roman" w:eastAsia="宋体" w:cs="Times New Roman"/>
                <w:b/>
                <w:bCs/>
                <w:color w:val="000000"/>
                <w:sz w:val="21"/>
                <w:szCs w:val="21"/>
              </w:rPr>
            </w:pPr>
            <w:r>
              <w:rPr>
                <w:rFonts w:hint="default" w:ascii="Times New Roman" w:hAnsi="Times New Roman" w:eastAsia="宋体" w:cs="Times New Roman"/>
                <w:b/>
                <w:bCs/>
                <w:color w:val="000000"/>
                <w:sz w:val="21"/>
                <w:szCs w:val="21"/>
                <w:lang w:bidi="ar"/>
              </w:rPr>
              <w:t>序号</w:t>
            </w:r>
          </w:p>
        </w:tc>
        <w:tc>
          <w:tcPr>
            <w:tcW w:w="2771" w:type="pct"/>
            <w:noWrap w:val="0"/>
            <w:vAlign w:val="center"/>
          </w:tcPr>
          <w:p w14:paraId="3ED8B873">
            <w:pPr>
              <w:jc w:val="center"/>
              <w:rPr>
                <w:rFonts w:hint="default" w:ascii="Times New Roman" w:hAnsi="Times New Roman" w:eastAsia="宋体" w:cs="Times New Roman"/>
                <w:b/>
                <w:bCs/>
                <w:color w:val="000000"/>
                <w:sz w:val="21"/>
                <w:szCs w:val="21"/>
              </w:rPr>
            </w:pPr>
            <w:r>
              <w:rPr>
                <w:rStyle w:val="159"/>
                <w:rFonts w:hint="default" w:ascii="Times New Roman" w:hAnsi="Times New Roman" w:eastAsia="宋体" w:cs="Times New Roman"/>
                <w:b/>
                <w:bCs/>
                <w:color w:val="000000"/>
                <w:sz w:val="21"/>
                <w:szCs w:val="21"/>
                <w:lang w:bidi="ar"/>
              </w:rPr>
              <w:t>标准名称</w:t>
            </w:r>
          </w:p>
        </w:tc>
        <w:tc>
          <w:tcPr>
            <w:tcW w:w="1494" w:type="pct"/>
            <w:noWrap w:val="0"/>
            <w:vAlign w:val="center"/>
          </w:tcPr>
          <w:p w14:paraId="62ADA1BC">
            <w:pPr>
              <w:jc w:val="center"/>
              <w:rPr>
                <w:rFonts w:hint="default" w:ascii="Times New Roman" w:hAnsi="Times New Roman" w:eastAsia="宋体" w:cs="Times New Roman"/>
                <w:b/>
                <w:bCs/>
                <w:color w:val="000000"/>
                <w:sz w:val="21"/>
                <w:szCs w:val="21"/>
              </w:rPr>
            </w:pPr>
            <w:r>
              <w:rPr>
                <w:rFonts w:hint="default" w:ascii="Times New Roman" w:hAnsi="Times New Roman" w:eastAsia="宋体" w:cs="Times New Roman"/>
                <w:b/>
                <w:bCs/>
                <w:color w:val="000000"/>
                <w:sz w:val="21"/>
                <w:szCs w:val="21"/>
                <w:lang w:bidi="ar"/>
              </w:rPr>
              <w:t>标准编号</w:t>
            </w:r>
          </w:p>
        </w:tc>
      </w:tr>
      <w:tr w14:paraId="336B2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733" w:type="pct"/>
            <w:noWrap w:val="0"/>
            <w:vAlign w:val="center"/>
          </w:tcPr>
          <w:p w14:paraId="3A0F24B9">
            <w:pPr>
              <w:widowControl/>
              <w:numPr>
                <w:ilvl w:val="0"/>
                <w:numId w:val="0"/>
              </w:numPr>
              <w:adjustRightInd w:val="0"/>
              <w:snapToGrid w:val="0"/>
              <w:ind w:left="0" w:leftChars="0" w:firstLine="0" w:firstLineChars="0"/>
              <w:jc w:val="center"/>
              <w:textAlignment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sz w:val="21"/>
                <w:szCs w:val="21"/>
                <w:highlight w:val="none"/>
                <w:lang w:val="en-US" w:eastAsia="zh-CN"/>
              </w:rPr>
              <w:t>1</w:t>
            </w:r>
          </w:p>
        </w:tc>
        <w:tc>
          <w:tcPr>
            <w:tcW w:w="2771" w:type="pct"/>
            <w:noWrap w:val="0"/>
            <w:vAlign w:val="center"/>
          </w:tcPr>
          <w:p w14:paraId="2CF5DC31">
            <w:pPr>
              <w:keepNext w:val="0"/>
              <w:keepLines w:val="0"/>
              <w:widowControl/>
              <w:suppressLineNumbers w:val="0"/>
              <w:jc w:val="center"/>
              <w:rPr>
                <w:rFonts w:hint="default" w:ascii="Times New Roman" w:hAnsi="Times New Roman" w:eastAsia="宋体" w:cs="Times New Roman"/>
                <w:color w:val="000000"/>
                <w:sz w:val="21"/>
                <w:szCs w:val="21"/>
                <w:highlight w:val="none"/>
                <w:lang w:val="en-US" w:eastAsia="zh-CN"/>
              </w:rPr>
            </w:pPr>
            <w:r>
              <w:rPr>
                <w:rFonts w:hint="default" w:ascii="Times New Roman" w:hAnsi="Times New Roman" w:eastAsia="宋体" w:cs="Times New Roman"/>
                <w:color w:val="000000"/>
                <w:kern w:val="0"/>
                <w:sz w:val="21"/>
                <w:szCs w:val="21"/>
                <w:highlight w:val="none"/>
                <w:lang w:val="en-US" w:eastAsia="zh-CN" w:bidi="ar"/>
              </w:rPr>
              <w:t>合成树脂乳液墙面涂料</w:t>
            </w:r>
          </w:p>
        </w:tc>
        <w:tc>
          <w:tcPr>
            <w:tcW w:w="1494" w:type="pct"/>
            <w:noWrap w:val="0"/>
            <w:vAlign w:val="center"/>
          </w:tcPr>
          <w:p w14:paraId="2F1DCB06">
            <w:pPr>
              <w:bidi w:val="0"/>
              <w:jc w:val="center"/>
              <w:rPr>
                <w:rFonts w:hint="default" w:ascii="Times New Roman" w:hAnsi="Times New Roman" w:eastAsia="宋体" w:cs="Times New Roman"/>
                <w:color w:val="000000"/>
                <w:sz w:val="21"/>
                <w:szCs w:val="21"/>
                <w:highlight w:val="none"/>
                <w:lang w:bidi="ar"/>
              </w:rPr>
            </w:pPr>
            <w:r>
              <w:rPr>
                <w:rFonts w:hint="default" w:ascii="Times New Roman" w:hAnsi="Times New Roman" w:eastAsia="宋体" w:cs="Times New Roman"/>
                <w:sz w:val="21"/>
                <w:szCs w:val="21"/>
                <w:highlight w:val="none"/>
                <w:lang w:val="en-US" w:eastAsia="zh-CN"/>
              </w:rPr>
              <w:t>GB/T 9755</w:t>
            </w:r>
          </w:p>
        </w:tc>
      </w:tr>
      <w:tr w14:paraId="0D7D3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733" w:type="pct"/>
            <w:noWrap w:val="0"/>
            <w:vAlign w:val="center"/>
          </w:tcPr>
          <w:p w14:paraId="3075D843">
            <w:pPr>
              <w:widowControl/>
              <w:numPr>
                <w:ilvl w:val="0"/>
                <w:numId w:val="0"/>
              </w:numPr>
              <w:adjustRightInd w:val="0"/>
              <w:snapToGrid w:val="0"/>
              <w:ind w:left="0" w:leftChars="0" w:firstLine="0" w:firstLineChars="0"/>
              <w:jc w:val="center"/>
              <w:textAlignment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sz w:val="21"/>
                <w:szCs w:val="21"/>
                <w:highlight w:val="none"/>
                <w:lang w:val="en-US" w:eastAsia="zh-CN"/>
              </w:rPr>
              <w:t>2</w:t>
            </w:r>
          </w:p>
        </w:tc>
        <w:tc>
          <w:tcPr>
            <w:tcW w:w="2771" w:type="pct"/>
            <w:noWrap w:val="0"/>
            <w:vAlign w:val="center"/>
          </w:tcPr>
          <w:p w14:paraId="5413A0A5">
            <w:pPr>
              <w:jc w:val="center"/>
              <w:rPr>
                <w:rFonts w:hint="default" w:ascii="Times New Roman" w:hAnsi="Times New Roman" w:eastAsia="宋体" w:cs="Times New Roman"/>
                <w:color w:val="000000"/>
                <w:kern w:val="2"/>
                <w:sz w:val="21"/>
                <w:szCs w:val="21"/>
                <w:highlight w:val="none"/>
                <w:lang w:val="en-US" w:eastAsia="zh-CN" w:bidi="ar-SA"/>
              </w:rPr>
            </w:pPr>
            <w:r>
              <w:rPr>
                <w:rFonts w:hint="default" w:ascii="Times New Roman" w:hAnsi="Times New Roman" w:eastAsia="宋体" w:cs="Times New Roman"/>
                <w:color w:val="000000"/>
                <w:sz w:val="21"/>
                <w:szCs w:val="21"/>
                <w:highlight w:val="none"/>
                <w:lang w:val="en-US" w:eastAsia="zh-CN"/>
              </w:rPr>
              <w:t>复层建筑涂料</w:t>
            </w:r>
          </w:p>
        </w:tc>
        <w:tc>
          <w:tcPr>
            <w:tcW w:w="1494" w:type="pct"/>
            <w:noWrap w:val="0"/>
            <w:vAlign w:val="center"/>
          </w:tcPr>
          <w:p w14:paraId="63F03254">
            <w:pPr>
              <w:bidi w:val="0"/>
              <w:jc w:val="center"/>
              <w:rPr>
                <w:rFonts w:hint="default" w:ascii="Times New Roman" w:hAnsi="Times New Roman" w:eastAsia="宋体" w:cs="Times New Roman"/>
                <w:color w:val="000000"/>
                <w:kern w:val="2"/>
                <w:sz w:val="21"/>
                <w:szCs w:val="21"/>
                <w:highlight w:val="none"/>
                <w:lang w:val="en-US" w:eastAsia="zh-CN" w:bidi="ar-SA"/>
              </w:rPr>
            </w:pPr>
            <w:r>
              <w:rPr>
                <w:rFonts w:hint="default" w:ascii="Times New Roman" w:hAnsi="Times New Roman" w:eastAsia="宋体" w:cs="Times New Roman"/>
                <w:sz w:val="21"/>
                <w:szCs w:val="21"/>
                <w:highlight w:val="none"/>
                <w:lang w:val="en-US" w:eastAsia="zh-CN"/>
              </w:rPr>
              <w:t>GB/T 9779</w:t>
            </w:r>
          </w:p>
        </w:tc>
      </w:tr>
      <w:tr w14:paraId="0B6CF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733" w:type="pct"/>
            <w:noWrap w:val="0"/>
            <w:vAlign w:val="center"/>
          </w:tcPr>
          <w:p w14:paraId="52C2565F">
            <w:pPr>
              <w:widowControl/>
              <w:numPr>
                <w:ilvl w:val="0"/>
                <w:numId w:val="0"/>
              </w:numPr>
              <w:adjustRightInd w:val="0"/>
              <w:snapToGrid w:val="0"/>
              <w:ind w:left="0" w:leftChars="0" w:firstLine="0" w:firstLineChars="0"/>
              <w:jc w:val="center"/>
              <w:textAlignment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sz w:val="21"/>
                <w:szCs w:val="21"/>
                <w:highlight w:val="none"/>
                <w:lang w:val="en-US" w:eastAsia="zh-CN"/>
              </w:rPr>
              <w:t>3</w:t>
            </w:r>
          </w:p>
        </w:tc>
        <w:tc>
          <w:tcPr>
            <w:tcW w:w="2771" w:type="pct"/>
            <w:noWrap w:val="0"/>
            <w:vAlign w:val="center"/>
          </w:tcPr>
          <w:p w14:paraId="0C2F8A03">
            <w:pPr>
              <w:pStyle w:val="4"/>
              <w:keepNext w:val="0"/>
              <w:keepLines w:val="0"/>
              <w:widowControl/>
              <w:suppressLineNumbers w:val="0"/>
              <w:shd w:val="clear" w:color="auto" w:fill="FFFFFF"/>
              <w:ind w:left="0" w:leftChars="0" w:firstLine="0" w:firstLineChars="0"/>
              <w:jc w:val="center"/>
              <w:outlineLvl w:val="2"/>
              <w:rPr>
                <w:rFonts w:hint="default" w:ascii="Times New Roman" w:hAnsi="Times New Roman" w:eastAsia="宋体" w:cs="Times New Roman"/>
                <w:b w:val="0"/>
                <w:bCs w:val="0"/>
                <w:color w:val="000000"/>
                <w:kern w:val="2"/>
                <w:sz w:val="21"/>
                <w:szCs w:val="21"/>
                <w:highlight w:val="none"/>
                <w:u w:val="none"/>
                <w:lang w:val="en-US" w:eastAsia="zh-CN" w:bidi="ar"/>
              </w:rPr>
            </w:pPr>
            <w:r>
              <w:rPr>
                <w:rStyle w:val="160"/>
                <w:rFonts w:hint="default" w:ascii="Times New Roman" w:hAnsi="Times New Roman" w:eastAsia="宋体" w:cs="Times New Roman"/>
                <w:b w:val="0"/>
                <w:bCs w:val="0"/>
                <w:kern w:val="2"/>
                <w:sz w:val="21"/>
                <w:szCs w:val="21"/>
                <w:highlight w:val="none"/>
                <w:lang w:val="en-US" w:eastAsia="zh-CN" w:bidi="ar"/>
              </w:rPr>
              <w:t>儿童房装饰用内墙涂料</w:t>
            </w:r>
          </w:p>
        </w:tc>
        <w:tc>
          <w:tcPr>
            <w:tcW w:w="1494" w:type="pct"/>
            <w:noWrap w:val="0"/>
            <w:vAlign w:val="center"/>
          </w:tcPr>
          <w:p w14:paraId="52B0E00B">
            <w:pPr>
              <w:pStyle w:val="4"/>
              <w:keepNext w:val="0"/>
              <w:keepLines w:val="0"/>
              <w:widowControl/>
              <w:suppressLineNumbers w:val="0"/>
              <w:shd w:val="clear" w:color="auto" w:fill="FFFFFF"/>
              <w:ind w:left="0" w:leftChars="0" w:firstLine="0" w:firstLineChars="0"/>
              <w:jc w:val="center"/>
              <w:outlineLvl w:val="2"/>
              <w:rPr>
                <w:rFonts w:hint="default" w:ascii="Times New Roman" w:hAnsi="Times New Roman" w:eastAsia="宋体" w:cs="Times New Roman"/>
                <w:b w:val="0"/>
                <w:bCs w:val="0"/>
                <w:color w:val="000000"/>
                <w:kern w:val="2"/>
                <w:sz w:val="21"/>
                <w:szCs w:val="21"/>
                <w:highlight w:val="none"/>
                <w:u w:val="none"/>
                <w:lang w:val="en-US" w:eastAsia="zh-CN" w:bidi="ar"/>
              </w:rPr>
            </w:pPr>
            <w:r>
              <w:rPr>
                <w:rStyle w:val="160"/>
                <w:rFonts w:hint="default" w:ascii="Times New Roman" w:hAnsi="Times New Roman" w:eastAsia="宋体" w:cs="Times New Roman"/>
                <w:b w:val="0"/>
                <w:bCs w:val="0"/>
                <w:kern w:val="2"/>
                <w:sz w:val="21"/>
                <w:szCs w:val="21"/>
                <w:highlight w:val="none"/>
                <w:lang w:val="en-US" w:eastAsia="zh-CN" w:bidi="ar"/>
              </w:rPr>
              <w:t>GB/T 24676</w:t>
            </w:r>
          </w:p>
        </w:tc>
      </w:tr>
      <w:tr w14:paraId="25922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733" w:type="pct"/>
            <w:noWrap w:val="0"/>
            <w:vAlign w:val="center"/>
          </w:tcPr>
          <w:p w14:paraId="64A0DF30">
            <w:pPr>
              <w:widowControl/>
              <w:numPr>
                <w:ilvl w:val="0"/>
                <w:numId w:val="0"/>
              </w:numPr>
              <w:adjustRightInd w:val="0"/>
              <w:snapToGrid w:val="0"/>
              <w:ind w:left="0" w:leftChars="0" w:firstLine="0" w:firstLineChars="0"/>
              <w:jc w:val="center"/>
              <w:textAlignment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sz w:val="21"/>
                <w:szCs w:val="21"/>
                <w:highlight w:val="none"/>
                <w:lang w:val="en-US" w:eastAsia="zh-CN"/>
              </w:rPr>
              <w:t>4</w:t>
            </w:r>
          </w:p>
        </w:tc>
        <w:tc>
          <w:tcPr>
            <w:tcW w:w="2771" w:type="pct"/>
            <w:noWrap w:val="0"/>
            <w:vAlign w:val="center"/>
          </w:tcPr>
          <w:p w14:paraId="712708C2">
            <w:pPr>
              <w:pStyle w:val="4"/>
              <w:keepNext w:val="0"/>
              <w:keepLines w:val="0"/>
              <w:widowControl/>
              <w:suppressLineNumbers w:val="0"/>
              <w:shd w:val="clear" w:color="auto" w:fill="FFFFFF"/>
              <w:ind w:left="0" w:leftChars="0" w:firstLine="0" w:firstLineChars="0"/>
              <w:jc w:val="center"/>
              <w:outlineLvl w:val="2"/>
              <w:rPr>
                <w:rFonts w:hint="default" w:ascii="Times New Roman" w:hAnsi="Times New Roman" w:eastAsia="宋体" w:cs="Times New Roman"/>
                <w:b w:val="0"/>
                <w:bCs w:val="0"/>
                <w:color w:val="000000"/>
                <w:kern w:val="2"/>
                <w:sz w:val="21"/>
                <w:szCs w:val="21"/>
                <w:highlight w:val="none"/>
                <w:u w:val="none"/>
                <w:lang w:val="en-US" w:eastAsia="zh-CN" w:bidi="ar"/>
              </w:rPr>
            </w:pPr>
            <w:r>
              <w:rPr>
                <w:rStyle w:val="160"/>
                <w:rFonts w:hint="default" w:ascii="Times New Roman" w:hAnsi="Times New Roman" w:eastAsia="宋体" w:cs="Times New Roman"/>
                <w:b w:val="0"/>
                <w:bCs w:val="0"/>
                <w:kern w:val="2"/>
                <w:sz w:val="21"/>
                <w:szCs w:val="21"/>
                <w:highlight w:val="none"/>
                <w:lang w:val="en-US" w:eastAsia="zh-CN" w:bidi="ar"/>
              </w:rPr>
              <w:t>建筑用反射隔热涂料</w:t>
            </w:r>
          </w:p>
        </w:tc>
        <w:tc>
          <w:tcPr>
            <w:tcW w:w="1494" w:type="pct"/>
            <w:noWrap w:val="0"/>
            <w:vAlign w:val="center"/>
          </w:tcPr>
          <w:p w14:paraId="271F50C0">
            <w:pPr>
              <w:pStyle w:val="4"/>
              <w:keepNext w:val="0"/>
              <w:keepLines w:val="0"/>
              <w:widowControl/>
              <w:suppressLineNumbers w:val="0"/>
              <w:shd w:val="clear" w:color="auto" w:fill="FFFFFF"/>
              <w:ind w:left="0" w:leftChars="0" w:firstLine="0" w:firstLineChars="0"/>
              <w:jc w:val="center"/>
              <w:outlineLvl w:val="2"/>
              <w:rPr>
                <w:rFonts w:hint="default" w:ascii="Times New Roman" w:hAnsi="Times New Roman" w:eastAsia="宋体" w:cs="Times New Roman"/>
                <w:b w:val="0"/>
                <w:bCs w:val="0"/>
                <w:color w:val="000000"/>
                <w:kern w:val="2"/>
                <w:sz w:val="21"/>
                <w:szCs w:val="21"/>
                <w:highlight w:val="none"/>
                <w:u w:val="none"/>
                <w:lang w:val="en-US" w:eastAsia="zh-CN" w:bidi="ar"/>
              </w:rPr>
            </w:pPr>
            <w:r>
              <w:rPr>
                <w:rStyle w:val="160"/>
                <w:rFonts w:hint="default" w:ascii="Times New Roman" w:hAnsi="Times New Roman" w:eastAsia="宋体" w:cs="Times New Roman"/>
                <w:b w:val="0"/>
                <w:bCs w:val="0"/>
                <w:kern w:val="2"/>
                <w:sz w:val="21"/>
                <w:szCs w:val="21"/>
                <w:highlight w:val="none"/>
                <w:lang w:val="en-US" w:eastAsia="zh-CN" w:bidi="ar"/>
              </w:rPr>
              <w:t>GB/T 25261</w:t>
            </w:r>
          </w:p>
        </w:tc>
      </w:tr>
      <w:tr w14:paraId="2EB3C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733" w:type="pct"/>
            <w:noWrap w:val="0"/>
            <w:vAlign w:val="center"/>
          </w:tcPr>
          <w:p w14:paraId="4AB8FDCD">
            <w:pPr>
              <w:widowControl/>
              <w:numPr>
                <w:ilvl w:val="0"/>
                <w:numId w:val="0"/>
              </w:numPr>
              <w:adjustRightInd w:val="0"/>
              <w:snapToGrid w:val="0"/>
              <w:ind w:left="0" w:leftChars="0" w:firstLine="0" w:firstLineChars="0"/>
              <w:jc w:val="center"/>
              <w:textAlignment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sz w:val="21"/>
                <w:szCs w:val="21"/>
                <w:highlight w:val="none"/>
                <w:lang w:val="en-US" w:eastAsia="zh-CN"/>
              </w:rPr>
              <w:t>5</w:t>
            </w:r>
          </w:p>
        </w:tc>
        <w:tc>
          <w:tcPr>
            <w:tcW w:w="2771" w:type="pct"/>
            <w:noWrap w:val="0"/>
            <w:vAlign w:val="center"/>
          </w:tcPr>
          <w:p w14:paraId="2744BA22">
            <w:pPr>
              <w:pStyle w:val="4"/>
              <w:keepNext w:val="0"/>
              <w:keepLines w:val="0"/>
              <w:widowControl/>
              <w:suppressLineNumbers w:val="0"/>
              <w:shd w:val="clear" w:color="auto" w:fill="FFFFFF"/>
              <w:ind w:left="0" w:leftChars="0" w:firstLine="0" w:firstLineChars="0"/>
              <w:jc w:val="center"/>
              <w:outlineLvl w:val="2"/>
              <w:rPr>
                <w:rFonts w:hint="default" w:ascii="Times New Roman" w:hAnsi="Times New Roman" w:eastAsia="宋体" w:cs="Times New Roman"/>
                <w:b w:val="0"/>
                <w:bCs w:val="0"/>
                <w:color w:val="000000"/>
                <w:kern w:val="2"/>
                <w:sz w:val="21"/>
                <w:szCs w:val="21"/>
                <w:highlight w:val="none"/>
                <w:u w:val="none"/>
                <w:lang w:val="en-US" w:eastAsia="zh-CN" w:bidi="ar"/>
              </w:rPr>
            </w:pPr>
            <w:r>
              <w:rPr>
                <w:rStyle w:val="160"/>
                <w:rFonts w:hint="default" w:ascii="Times New Roman" w:hAnsi="Times New Roman" w:eastAsia="宋体" w:cs="Times New Roman"/>
                <w:b w:val="0"/>
                <w:bCs w:val="0"/>
                <w:kern w:val="2"/>
                <w:sz w:val="21"/>
                <w:szCs w:val="21"/>
                <w:highlight w:val="none"/>
                <w:lang w:val="en-US" w:eastAsia="zh-CN" w:bidi="ar"/>
              </w:rPr>
              <w:t>建筑外表面用自清洁涂料</w:t>
            </w:r>
          </w:p>
        </w:tc>
        <w:tc>
          <w:tcPr>
            <w:tcW w:w="1494" w:type="pct"/>
            <w:noWrap w:val="0"/>
            <w:vAlign w:val="center"/>
          </w:tcPr>
          <w:p w14:paraId="75488215">
            <w:pPr>
              <w:pStyle w:val="4"/>
              <w:keepNext w:val="0"/>
              <w:keepLines w:val="0"/>
              <w:widowControl/>
              <w:suppressLineNumbers w:val="0"/>
              <w:shd w:val="clear" w:color="auto" w:fill="FFFFFF"/>
              <w:ind w:left="0" w:leftChars="0" w:firstLine="0" w:firstLineChars="0"/>
              <w:jc w:val="center"/>
              <w:outlineLvl w:val="2"/>
              <w:rPr>
                <w:rFonts w:hint="default" w:ascii="Times New Roman" w:hAnsi="Times New Roman" w:eastAsia="宋体" w:cs="Times New Roman"/>
                <w:b w:val="0"/>
                <w:bCs w:val="0"/>
                <w:color w:val="000000"/>
                <w:kern w:val="2"/>
                <w:sz w:val="21"/>
                <w:szCs w:val="21"/>
                <w:highlight w:val="none"/>
                <w:u w:val="none"/>
                <w:lang w:val="en-US" w:eastAsia="zh-CN" w:bidi="ar"/>
              </w:rPr>
            </w:pPr>
            <w:r>
              <w:rPr>
                <w:rStyle w:val="160"/>
                <w:rFonts w:hint="default" w:ascii="Times New Roman" w:hAnsi="Times New Roman" w:eastAsia="宋体" w:cs="Times New Roman"/>
                <w:b w:val="0"/>
                <w:bCs w:val="0"/>
                <w:kern w:val="2"/>
                <w:sz w:val="21"/>
                <w:szCs w:val="21"/>
                <w:highlight w:val="none"/>
                <w:lang w:val="en-US" w:eastAsia="zh-CN" w:bidi="ar"/>
              </w:rPr>
              <w:t>GB/T 31815</w:t>
            </w:r>
          </w:p>
        </w:tc>
      </w:tr>
      <w:tr w14:paraId="03AF9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733" w:type="pct"/>
            <w:noWrap w:val="0"/>
            <w:vAlign w:val="center"/>
          </w:tcPr>
          <w:p w14:paraId="137E7D2A">
            <w:pPr>
              <w:widowControl/>
              <w:numPr>
                <w:ilvl w:val="0"/>
                <w:numId w:val="0"/>
              </w:numPr>
              <w:adjustRightInd w:val="0"/>
              <w:snapToGrid w:val="0"/>
              <w:ind w:left="0" w:leftChars="0" w:firstLine="0" w:firstLineChars="0"/>
              <w:jc w:val="center"/>
              <w:textAlignment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sz w:val="21"/>
                <w:szCs w:val="21"/>
                <w:highlight w:val="none"/>
                <w:lang w:val="en-US" w:eastAsia="zh-CN"/>
              </w:rPr>
              <w:t>6</w:t>
            </w:r>
          </w:p>
        </w:tc>
        <w:tc>
          <w:tcPr>
            <w:tcW w:w="2771" w:type="pct"/>
            <w:noWrap w:val="0"/>
            <w:vAlign w:val="center"/>
          </w:tcPr>
          <w:p w14:paraId="53236EC0">
            <w:pPr>
              <w:pStyle w:val="4"/>
              <w:keepNext w:val="0"/>
              <w:keepLines w:val="0"/>
              <w:widowControl/>
              <w:suppressLineNumbers w:val="0"/>
              <w:shd w:val="clear" w:color="auto" w:fill="FFFFFF"/>
              <w:ind w:left="0" w:leftChars="0" w:firstLine="0" w:firstLineChars="0"/>
              <w:jc w:val="center"/>
              <w:outlineLvl w:val="2"/>
              <w:rPr>
                <w:rFonts w:hint="default" w:ascii="Times New Roman" w:hAnsi="Times New Roman" w:eastAsia="宋体" w:cs="Times New Roman"/>
                <w:b w:val="0"/>
                <w:bCs w:val="0"/>
                <w:color w:val="000000"/>
                <w:kern w:val="2"/>
                <w:sz w:val="21"/>
                <w:szCs w:val="21"/>
                <w:highlight w:val="none"/>
                <w:u w:val="none"/>
                <w:lang w:val="en-US" w:eastAsia="zh-CN" w:bidi="ar"/>
              </w:rPr>
            </w:pPr>
            <w:r>
              <w:rPr>
                <w:rStyle w:val="160"/>
                <w:rFonts w:hint="default" w:ascii="Times New Roman" w:hAnsi="Times New Roman" w:eastAsia="宋体" w:cs="Times New Roman"/>
                <w:b w:val="0"/>
                <w:bCs w:val="0"/>
                <w:kern w:val="2"/>
                <w:sz w:val="21"/>
                <w:szCs w:val="21"/>
                <w:highlight w:val="none"/>
                <w:lang w:val="en-US" w:eastAsia="zh-CN" w:bidi="ar"/>
              </w:rPr>
              <w:fldChar w:fldCharType="begin"/>
            </w:r>
            <w:r>
              <w:rPr>
                <w:rStyle w:val="160"/>
                <w:rFonts w:hint="default" w:ascii="Times New Roman" w:hAnsi="Times New Roman" w:eastAsia="宋体" w:cs="Times New Roman"/>
                <w:b w:val="0"/>
                <w:bCs w:val="0"/>
                <w:kern w:val="2"/>
                <w:sz w:val="21"/>
                <w:szCs w:val="21"/>
                <w:highlight w:val="none"/>
                <w:lang w:val="en-US" w:eastAsia="zh-CN" w:bidi="ar"/>
              </w:rPr>
              <w:instrText xml:space="preserve"> HYPERLINK "https://std.samr.gov.cn/hb/search/stdHBDetailed?id=413FD0D1A4DFEACDE06397BE0A0AD07C" \t "https://std.samr.gov.cn/search/_blank" </w:instrText>
            </w:r>
            <w:r>
              <w:rPr>
                <w:rStyle w:val="160"/>
                <w:rFonts w:hint="default" w:ascii="Times New Roman" w:hAnsi="Times New Roman" w:eastAsia="宋体" w:cs="Times New Roman"/>
                <w:b w:val="0"/>
                <w:bCs w:val="0"/>
                <w:kern w:val="2"/>
                <w:sz w:val="21"/>
                <w:szCs w:val="21"/>
                <w:highlight w:val="none"/>
                <w:lang w:val="en-US" w:eastAsia="zh-CN" w:bidi="ar"/>
              </w:rPr>
              <w:fldChar w:fldCharType="separate"/>
            </w:r>
            <w:r>
              <w:rPr>
                <w:rStyle w:val="160"/>
                <w:rFonts w:hint="default" w:ascii="Times New Roman" w:hAnsi="Times New Roman" w:eastAsia="宋体" w:cs="Times New Roman"/>
                <w:b w:val="0"/>
                <w:bCs w:val="0"/>
                <w:kern w:val="2"/>
                <w:sz w:val="21"/>
                <w:szCs w:val="21"/>
                <w:highlight w:val="none"/>
                <w:lang w:val="en-US" w:eastAsia="zh-CN" w:bidi="ar"/>
              </w:rPr>
              <w:t>抗菌和抗病毒涂料</w:t>
            </w:r>
            <w:r>
              <w:rPr>
                <w:rStyle w:val="160"/>
                <w:rFonts w:hint="default" w:ascii="Times New Roman" w:hAnsi="Times New Roman" w:eastAsia="宋体" w:cs="Times New Roman"/>
                <w:b w:val="0"/>
                <w:bCs w:val="0"/>
                <w:kern w:val="2"/>
                <w:sz w:val="21"/>
                <w:szCs w:val="21"/>
                <w:highlight w:val="none"/>
                <w:lang w:val="en-US" w:eastAsia="zh-CN" w:bidi="ar"/>
              </w:rPr>
              <w:fldChar w:fldCharType="end"/>
            </w:r>
          </w:p>
        </w:tc>
        <w:tc>
          <w:tcPr>
            <w:tcW w:w="1494" w:type="pct"/>
            <w:noWrap w:val="0"/>
            <w:vAlign w:val="center"/>
          </w:tcPr>
          <w:p w14:paraId="0F38438C">
            <w:pPr>
              <w:pStyle w:val="4"/>
              <w:keepNext w:val="0"/>
              <w:keepLines w:val="0"/>
              <w:widowControl/>
              <w:suppressLineNumbers w:val="0"/>
              <w:shd w:val="clear" w:color="auto" w:fill="FFFFFF"/>
              <w:ind w:left="0" w:leftChars="0" w:firstLine="0" w:firstLineChars="0"/>
              <w:jc w:val="center"/>
              <w:outlineLvl w:val="2"/>
              <w:rPr>
                <w:rFonts w:hint="default" w:ascii="Times New Roman" w:hAnsi="Times New Roman" w:eastAsia="宋体" w:cs="Times New Roman"/>
                <w:b w:val="0"/>
                <w:bCs w:val="0"/>
                <w:color w:val="000000"/>
                <w:kern w:val="2"/>
                <w:sz w:val="21"/>
                <w:szCs w:val="21"/>
                <w:highlight w:val="none"/>
                <w:u w:val="none"/>
                <w:lang w:val="en-US" w:eastAsia="zh-CN" w:bidi="ar"/>
              </w:rPr>
            </w:pPr>
            <w:r>
              <w:rPr>
                <w:rStyle w:val="160"/>
                <w:rFonts w:hint="default" w:ascii="Times New Roman" w:hAnsi="Times New Roman" w:eastAsia="宋体" w:cs="Times New Roman"/>
                <w:b w:val="0"/>
                <w:bCs w:val="0"/>
                <w:kern w:val="2"/>
                <w:sz w:val="21"/>
                <w:szCs w:val="21"/>
                <w:highlight w:val="none"/>
                <w:lang w:val="en-US" w:eastAsia="zh-CN" w:bidi="ar"/>
              </w:rPr>
              <w:t>HG/T 3950</w:t>
            </w:r>
          </w:p>
        </w:tc>
      </w:tr>
      <w:tr w14:paraId="550B5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733" w:type="pct"/>
            <w:noWrap w:val="0"/>
            <w:vAlign w:val="center"/>
          </w:tcPr>
          <w:p w14:paraId="287FA3C4">
            <w:pPr>
              <w:widowControl/>
              <w:numPr>
                <w:ilvl w:val="0"/>
                <w:numId w:val="0"/>
              </w:numPr>
              <w:adjustRightInd w:val="0"/>
              <w:snapToGrid w:val="0"/>
              <w:ind w:left="0" w:leftChars="0" w:firstLine="0" w:firstLineChars="0"/>
              <w:jc w:val="center"/>
              <w:textAlignment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7</w:t>
            </w:r>
          </w:p>
        </w:tc>
        <w:tc>
          <w:tcPr>
            <w:tcW w:w="2771" w:type="pct"/>
            <w:noWrap w:val="0"/>
            <w:vAlign w:val="center"/>
          </w:tcPr>
          <w:p w14:paraId="16F4CA69">
            <w:pPr>
              <w:jc w:val="center"/>
              <w:rPr>
                <w:rFonts w:hint="default" w:ascii="Times New Roman" w:hAnsi="Times New Roman" w:eastAsia="宋体" w:cs="Times New Roman"/>
                <w:color w:val="000000"/>
                <w:kern w:val="2"/>
                <w:sz w:val="21"/>
                <w:szCs w:val="21"/>
                <w:highlight w:val="none"/>
                <w:lang w:val="en-US" w:eastAsia="zh-CN" w:bidi="ar-SA"/>
              </w:rPr>
            </w:pPr>
            <w:r>
              <w:rPr>
                <w:rFonts w:hint="default" w:ascii="Times New Roman" w:hAnsi="Times New Roman" w:eastAsia="宋体" w:cs="Times New Roman"/>
                <w:color w:val="000000"/>
                <w:sz w:val="21"/>
                <w:szCs w:val="21"/>
                <w:highlight w:val="none"/>
                <w:lang w:val="en-US" w:eastAsia="zh-CN"/>
              </w:rPr>
              <w:t>水性氟树脂涂料</w:t>
            </w:r>
          </w:p>
        </w:tc>
        <w:tc>
          <w:tcPr>
            <w:tcW w:w="1494" w:type="pct"/>
            <w:noWrap w:val="0"/>
            <w:vAlign w:val="center"/>
          </w:tcPr>
          <w:p w14:paraId="50D8D192">
            <w:pPr>
              <w:bidi w:val="0"/>
              <w:jc w:val="center"/>
              <w:rPr>
                <w:rFonts w:hint="default" w:ascii="Times New Roman" w:hAnsi="Times New Roman" w:eastAsia="宋体" w:cs="Times New Roman"/>
                <w:color w:val="000000"/>
                <w:kern w:val="2"/>
                <w:sz w:val="21"/>
                <w:szCs w:val="21"/>
                <w:highlight w:val="none"/>
                <w:lang w:val="en-US" w:eastAsia="zh-CN" w:bidi="ar-SA"/>
              </w:rPr>
            </w:pPr>
            <w:r>
              <w:rPr>
                <w:rFonts w:hint="default" w:ascii="Times New Roman" w:hAnsi="Times New Roman" w:eastAsia="宋体" w:cs="Times New Roman"/>
                <w:sz w:val="21"/>
                <w:szCs w:val="21"/>
                <w:highlight w:val="none"/>
                <w:lang w:val="en-US" w:eastAsia="zh-CN"/>
              </w:rPr>
              <w:t>HG/T 4104</w:t>
            </w:r>
          </w:p>
        </w:tc>
      </w:tr>
      <w:tr w14:paraId="411C1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733" w:type="pct"/>
            <w:noWrap w:val="0"/>
            <w:vAlign w:val="center"/>
          </w:tcPr>
          <w:p w14:paraId="50630DD4">
            <w:pPr>
              <w:widowControl/>
              <w:numPr>
                <w:ilvl w:val="0"/>
                <w:numId w:val="0"/>
              </w:numPr>
              <w:adjustRightInd w:val="0"/>
              <w:snapToGrid w:val="0"/>
              <w:ind w:left="0" w:leftChars="0" w:firstLine="0" w:firstLineChars="0"/>
              <w:jc w:val="center"/>
              <w:textAlignment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sz w:val="21"/>
                <w:szCs w:val="21"/>
                <w:highlight w:val="none"/>
                <w:lang w:val="en-US" w:eastAsia="zh-CN"/>
              </w:rPr>
              <w:t>8</w:t>
            </w:r>
          </w:p>
        </w:tc>
        <w:tc>
          <w:tcPr>
            <w:tcW w:w="2771" w:type="pct"/>
            <w:noWrap w:val="0"/>
            <w:vAlign w:val="center"/>
          </w:tcPr>
          <w:p w14:paraId="31400C01">
            <w:pPr>
              <w:jc w:val="center"/>
              <w:rPr>
                <w:rFonts w:hint="default" w:ascii="Times New Roman" w:hAnsi="Times New Roman" w:eastAsia="宋体" w:cs="Times New Roman"/>
                <w:color w:val="000000"/>
                <w:kern w:val="2"/>
                <w:sz w:val="21"/>
                <w:szCs w:val="21"/>
                <w:highlight w:val="none"/>
                <w:lang w:val="en-US" w:eastAsia="zh-CN" w:bidi="ar-SA"/>
              </w:rPr>
            </w:pPr>
            <w:r>
              <w:rPr>
                <w:rFonts w:hint="default" w:ascii="Times New Roman" w:hAnsi="Times New Roman" w:eastAsia="宋体" w:cs="Times New Roman"/>
                <w:color w:val="000000"/>
                <w:sz w:val="21"/>
                <w:szCs w:val="21"/>
                <w:highlight w:val="none"/>
                <w:lang w:val="en-US" w:eastAsia="zh-CN"/>
              </w:rPr>
              <w:t>水性多彩建筑涂料</w:t>
            </w:r>
          </w:p>
        </w:tc>
        <w:tc>
          <w:tcPr>
            <w:tcW w:w="1494" w:type="pct"/>
            <w:noWrap w:val="0"/>
            <w:vAlign w:val="center"/>
          </w:tcPr>
          <w:p w14:paraId="573CF6E4">
            <w:pPr>
              <w:bidi w:val="0"/>
              <w:jc w:val="center"/>
              <w:rPr>
                <w:rFonts w:hint="default" w:ascii="Times New Roman" w:hAnsi="Times New Roman" w:eastAsia="宋体" w:cs="Times New Roman"/>
                <w:color w:val="000000"/>
                <w:kern w:val="2"/>
                <w:sz w:val="21"/>
                <w:szCs w:val="21"/>
                <w:highlight w:val="none"/>
                <w:lang w:val="en-US" w:eastAsia="zh-CN" w:bidi="ar-SA"/>
              </w:rPr>
            </w:pPr>
            <w:r>
              <w:rPr>
                <w:rFonts w:hint="default" w:ascii="Times New Roman" w:hAnsi="Times New Roman" w:eastAsia="宋体" w:cs="Times New Roman"/>
                <w:sz w:val="21"/>
                <w:szCs w:val="21"/>
                <w:highlight w:val="none"/>
                <w:lang w:val="en-US" w:eastAsia="zh-CN"/>
              </w:rPr>
              <w:t>HG/T 4343</w:t>
            </w:r>
          </w:p>
        </w:tc>
      </w:tr>
      <w:tr w14:paraId="121DC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733" w:type="pct"/>
            <w:noWrap w:val="0"/>
            <w:vAlign w:val="center"/>
          </w:tcPr>
          <w:p w14:paraId="78C0BBE1">
            <w:pPr>
              <w:widowControl/>
              <w:numPr>
                <w:ilvl w:val="0"/>
                <w:numId w:val="0"/>
              </w:numPr>
              <w:adjustRightInd w:val="0"/>
              <w:snapToGrid w:val="0"/>
              <w:ind w:left="0" w:leftChars="0" w:firstLine="0" w:firstLineChars="0"/>
              <w:jc w:val="center"/>
              <w:textAlignment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sz w:val="21"/>
                <w:szCs w:val="21"/>
                <w:highlight w:val="none"/>
                <w:lang w:val="en-US" w:eastAsia="zh-CN"/>
              </w:rPr>
              <w:t>9</w:t>
            </w:r>
          </w:p>
        </w:tc>
        <w:tc>
          <w:tcPr>
            <w:tcW w:w="2771" w:type="pct"/>
            <w:noWrap w:val="0"/>
            <w:vAlign w:val="center"/>
          </w:tcPr>
          <w:p w14:paraId="45A7028C">
            <w:pPr>
              <w:keepNext w:val="0"/>
              <w:keepLines w:val="0"/>
              <w:widowControl/>
              <w:suppressLineNumbers w:val="0"/>
              <w:jc w:val="center"/>
              <w:rPr>
                <w:rFonts w:hint="default" w:ascii="Times New Roman" w:hAnsi="Times New Roman" w:eastAsia="宋体" w:cs="Times New Roman"/>
                <w:color w:val="000000"/>
                <w:kern w:val="2"/>
                <w:sz w:val="21"/>
                <w:szCs w:val="21"/>
                <w:highlight w:val="none"/>
                <w:lang w:val="en-US" w:eastAsia="zh-CN" w:bidi="ar-SA"/>
              </w:rPr>
            </w:pPr>
            <w:r>
              <w:rPr>
                <w:rFonts w:hint="default" w:ascii="Times New Roman" w:hAnsi="Times New Roman" w:eastAsia="宋体" w:cs="Times New Roman"/>
                <w:color w:val="000000"/>
                <w:kern w:val="0"/>
                <w:sz w:val="21"/>
                <w:szCs w:val="21"/>
                <w:highlight w:val="none"/>
                <w:lang w:val="en-US" w:eastAsia="zh-CN" w:bidi="ar"/>
              </w:rPr>
              <w:t>水性复合岩片仿花岗岩涂料</w:t>
            </w:r>
          </w:p>
        </w:tc>
        <w:tc>
          <w:tcPr>
            <w:tcW w:w="1494" w:type="pct"/>
            <w:noWrap w:val="0"/>
            <w:vAlign w:val="center"/>
          </w:tcPr>
          <w:p w14:paraId="72A308BA">
            <w:pPr>
              <w:keepNext w:val="0"/>
              <w:keepLines w:val="0"/>
              <w:widowControl/>
              <w:suppressLineNumbers w:val="0"/>
              <w:jc w:val="center"/>
              <w:rPr>
                <w:rFonts w:hint="default" w:ascii="Times New Roman" w:hAnsi="Times New Roman" w:eastAsia="宋体" w:cs="Times New Roman"/>
                <w:color w:val="000000"/>
                <w:kern w:val="2"/>
                <w:sz w:val="21"/>
                <w:szCs w:val="21"/>
                <w:highlight w:val="none"/>
                <w:lang w:val="en-US" w:eastAsia="zh-CN" w:bidi="ar-SA"/>
              </w:rPr>
            </w:pPr>
            <w:r>
              <w:rPr>
                <w:rFonts w:hint="default" w:ascii="Times New Roman" w:hAnsi="Times New Roman" w:eastAsia="宋体" w:cs="Times New Roman"/>
                <w:color w:val="000000"/>
                <w:kern w:val="0"/>
                <w:sz w:val="21"/>
                <w:szCs w:val="21"/>
                <w:highlight w:val="none"/>
                <w:lang w:val="en-US" w:eastAsia="zh-CN" w:bidi="ar"/>
              </w:rPr>
              <w:t>HG/T 4344</w:t>
            </w:r>
          </w:p>
        </w:tc>
      </w:tr>
      <w:tr w14:paraId="6F4CA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733" w:type="pct"/>
            <w:noWrap w:val="0"/>
            <w:vAlign w:val="center"/>
          </w:tcPr>
          <w:p w14:paraId="7E858235">
            <w:pPr>
              <w:widowControl/>
              <w:numPr>
                <w:ilvl w:val="0"/>
                <w:numId w:val="0"/>
              </w:numPr>
              <w:adjustRightInd w:val="0"/>
              <w:snapToGrid w:val="0"/>
              <w:ind w:left="0" w:leftChars="0" w:firstLine="0" w:firstLineChars="0"/>
              <w:jc w:val="center"/>
              <w:textAlignment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sz w:val="21"/>
                <w:szCs w:val="21"/>
                <w:highlight w:val="none"/>
                <w:lang w:val="en-US" w:eastAsia="zh-CN"/>
              </w:rPr>
              <w:t>10</w:t>
            </w:r>
          </w:p>
        </w:tc>
        <w:tc>
          <w:tcPr>
            <w:tcW w:w="2771" w:type="pct"/>
            <w:noWrap w:val="0"/>
            <w:vAlign w:val="center"/>
          </w:tcPr>
          <w:p w14:paraId="226D5B4B">
            <w:pPr>
              <w:pStyle w:val="4"/>
              <w:keepNext w:val="0"/>
              <w:keepLines w:val="0"/>
              <w:widowControl/>
              <w:suppressLineNumbers w:val="0"/>
              <w:shd w:val="clear" w:color="auto" w:fill="FFFFFF"/>
              <w:ind w:left="0" w:leftChars="0" w:firstLine="0" w:firstLineChars="0"/>
              <w:jc w:val="center"/>
              <w:outlineLvl w:val="2"/>
              <w:rPr>
                <w:rFonts w:hint="default" w:ascii="Times New Roman" w:hAnsi="Times New Roman" w:eastAsia="宋体" w:cs="Times New Roman"/>
                <w:b w:val="0"/>
                <w:bCs w:val="0"/>
                <w:color w:val="000000"/>
                <w:kern w:val="2"/>
                <w:sz w:val="21"/>
                <w:szCs w:val="21"/>
                <w:highlight w:val="none"/>
                <w:u w:val="none"/>
                <w:lang w:val="en-US" w:eastAsia="zh-CN" w:bidi="ar"/>
              </w:rPr>
            </w:pPr>
            <w:r>
              <w:rPr>
                <w:rStyle w:val="160"/>
                <w:rFonts w:hint="default" w:ascii="Times New Roman" w:hAnsi="Times New Roman" w:eastAsia="宋体" w:cs="Times New Roman"/>
                <w:b w:val="0"/>
                <w:bCs w:val="0"/>
                <w:kern w:val="2"/>
                <w:sz w:val="21"/>
                <w:szCs w:val="21"/>
                <w:highlight w:val="none"/>
                <w:lang w:val="en-US" w:eastAsia="zh-CN" w:bidi="ar"/>
              </w:rPr>
              <w:t>建筑用弹性中涂漆</w:t>
            </w:r>
          </w:p>
        </w:tc>
        <w:tc>
          <w:tcPr>
            <w:tcW w:w="1494" w:type="pct"/>
            <w:noWrap w:val="0"/>
            <w:vAlign w:val="center"/>
          </w:tcPr>
          <w:p w14:paraId="071BD3FB">
            <w:pPr>
              <w:pStyle w:val="4"/>
              <w:keepNext w:val="0"/>
              <w:keepLines w:val="0"/>
              <w:widowControl/>
              <w:suppressLineNumbers w:val="0"/>
              <w:shd w:val="clear" w:color="auto" w:fill="FFFFFF"/>
              <w:ind w:left="0" w:leftChars="0" w:firstLine="0" w:firstLineChars="0"/>
              <w:jc w:val="center"/>
              <w:outlineLvl w:val="2"/>
              <w:rPr>
                <w:rFonts w:hint="default" w:ascii="Times New Roman" w:hAnsi="Times New Roman" w:eastAsia="宋体" w:cs="Times New Roman"/>
                <w:b w:val="0"/>
                <w:bCs w:val="0"/>
                <w:color w:val="000000"/>
                <w:kern w:val="2"/>
                <w:sz w:val="21"/>
                <w:szCs w:val="21"/>
                <w:highlight w:val="none"/>
                <w:u w:val="none"/>
                <w:lang w:val="en-US" w:eastAsia="zh-CN" w:bidi="ar"/>
              </w:rPr>
            </w:pPr>
            <w:r>
              <w:rPr>
                <w:rStyle w:val="160"/>
                <w:rFonts w:hint="default" w:ascii="Times New Roman" w:hAnsi="Times New Roman" w:eastAsia="宋体" w:cs="Times New Roman"/>
                <w:b w:val="0"/>
                <w:bCs w:val="0"/>
                <w:kern w:val="2"/>
                <w:sz w:val="21"/>
                <w:szCs w:val="21"/>
                <w:highlight w:val="none"/>
                <w:lang w:val="en-US" w:eastAsia="zh-CN" w:bidi="ar"/>
              </w:rPr>
              <w:t>HG/T 4567</w:t>
            </w:r>
          </w:p>
        </w:tc>
      </w:tr>
      <w:tr w14:paraId="37708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733" w:type="pct"/>
            <w:noWrap w:val="0"/>
            <w:vAlign w:val="center"/>
          </w:tcPr>
          <w:p w14:paraId="5F9FF62A">
            <w:pPr>
              <w:widowControl/>
              <w:numPr>
                <w:ilvl w:val="0"/>
                <w:numId w:val="0"/>
              </w:numPr>
              <w:adjustRightInd w:val="0"/>
              <w:snapToGrid w:val="0"/>
              <w:ind w:left="0" w:leftChars="0" w:firstLine="0" w:firstLineChars="0"/>
              <w:jc w:val="center"/>
              <w:textAlignment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sz w:val="21"/>
                <w:szCs w:val="21"/>
                <w:highlight w:val="none"/>
                <w:lang w:val="en-US" w:eastAsia="zh-CN"/>
              </w:rPr>
              <w:t>11</w:t>
            </w:r>
          </w:p>
        </w:tc>
        <w:tc>
          <w:tcPr>
            <w:tcW w:w="2771" w:type="pct"/>
            <w:noWrap w:val="0"/>
            <w:vAlign w:val="center"/>
          </w:tcPr>
          <w:p w14:paraId="31509E61">
            <w:pPr>
              <w:keepNext w:val="0"/>
              <w:keepLines w:val="0"/>
              <w:widowControl/>
              <w:suppressLineNumbers w:val="0"/>
              <w:jc w:val="center"/>
              <w:rPr>
                <w:rFonts w:hint="default" w:ascii="Times New Roman" w:hAnsi="Times New Roman" w:eastAsia="宋体" w:cs="Times New Roman"/>
                <w:color w:val="000000"/>
                <w:kern w:val="2"/>
                <w:sz w:val="21"/>
                <w:szCs w:val="21"/>
                <w:highlight w:val="none"/>
                <w:lang w:val="en-US" w:eastAsia="zh-CN" w:bidi="ar-SA"/>
              </w:rPr>
            </w:pPr>
            <w:r>
              <w:rPr>
                <w:rFonts w:hint="default" w:ascii="Times New Roman" w:hAnsi="Times New Roman" w:eastAsia="宋体" w:cs="Times New Roman"/>
                <w:color w:val="000000"/>
                <w:kern w:val="0"/>
                <w:sz w:val="21"/>
                <w:szCs w:val="21"/>
                <w:highlight w:val="none"/>
                <w:lang w:val="en-US" w:eastAsia="zh-CN" w:bidi="ar"/>
              </w:rPr>
              <w:t>内墙耐污渍乳胶涂料</w:t>
            </w:r>
          </w:p>
        </w:tc>
        <w:tc>
          <w:tcPr>
            <w:tcW w:w="1494" w:type="pct"/>
            <w:noWrap w:val="0"/>
            <w:vAlign w:val="center"/>
          </w:tcPr>
          <w:p w14:paraId="6CA3F648">
            <w:pPr>
              <w:jc w:val="center"/>
              <w:rPr>
                <w:rFonts w:hint="default" w:ascii="Times New Roman" w:hAnsi="Times New Roman" w:eastAsia="宋体" w:cs="Times New Roman"/>
                <w:color w:val="000000"/>
                <w:kern w:val="2"/>
                <w:sz w:val="21"/>
                <w:szCs w:val="21"/>
                <w:highlight w:val="none"/>
                <w:lang w:val="en-US" w:eastAsia="zh-CN" w:bidi="ar-SA"/>
              </w:rPr>
            </w:pPr>
            <w:r>
              <w:rPr>
                <w:rFonts w:hint="default" w:ascii="Times New Roman" w:hAnsi="Times New Roman" w:eastAsia="宋体" w:cs="Times New Roman"/>
                <w:color w:val="000000"/>
                <w:sz w:val="21"/>
                <w:szCs w:val="21"/>
                <w:highlight w:val="none"/>
                <w:lang w:val="en-US" w:eastAsia="zh-CN"/>
              </w:rPr>
              <w:t>HG/T 4756</w:t>
            </w:r>
          </w:p>
        </w:tc>
      </w:tr>
      <w:tr w14:paraId="3147B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733" w:type="pct"/>
            <w:noWrap w:val="0"/>
            <w:vAlign w:val="center"/>
          </w:tcPr>
          <w:p w14:paraId="205734FF">
            <w:pPr>
              <w:widowControl/>
              <w:numPr>
                <w:ilvl w:val="0"/>
                <w:numId w:val="0"/>
              </w:numPr>
              <w:adjustRightInd w:val="0"/>
              <w:snapToGrid w:val="0"/>
              <w:ind w:left="0" w:leftChars="0" w:firstLine="0" w:firstLineChars="0"/>
              <w:jc w:val="center"/>
              <w:textAlignment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sz w:val="21"/>
                <w:szCs w:val="21"/>
                <w:highlight w:val="none"/>
                <w:lang w:val="en-US" w:eastAsia="zh-CN"/>
              </w:rPr>
              <w:t>12</w:t>
            </w:r>
          </w:p>
        </w:tc>
        <w:tc>
          <w:tcPr>
            <w:tcW w:w="2771" w:type="pct"/>
            <w:noWrap w:val="0"/>
            <w:vAlign w:val="center"/>
          </w:tcPr>
          <w:p w14:paraId="7EEEAE46">
            <w:pPr>
              <w:pStyle w:val="4"/>
              <w:keepNext w:val="0"/>
              <w:keepLines w:val="0"/>
              <w:widowControl/>
              <w:suppressLineNumbers w:val="0"/>
              <w:shd w:val="clear" w:color="auto" w:fill="FFFFFF"/>
              <w:ind w:left="0" w:leftChars="0" w:firstLine="0" w:firstLineChars="0"/>
              <w:jc w:val="center"/>
              <w:outlineLvl w:val="2"/>
              <w:rPr>
                <w:rFonts w:hint="default" w:ascii="Times New Roman" w:hAnsi="Times New Roman" w:eastAsia="宋体" w:cs="Times New Roman"/>
                <w:b w:val="0"/>
                <w:bCs w:val="0"/>
                <w:color w:val="000000"/>
                <w:kern w:val="2"/>
                <w:sz w:val="21"/>
                <w:szCs w:val="21"/>
                <w:highlight w:val="none"/>
                <w:u w:val="none"/>
                <w:lang w:val="en-US" w:eastAsia="zh-CN" w:bidi="ar"/>
              </w:rPr>
            </w:pPr>
            <w:r>
              <w:rPr>
                <w:rStyle w:val="160"/>
                <w:rFonts w:hint="default" w:ascii="Times New Roman" w:hAnsi="Times New Roman" w:eastAsia="宋体" w:cs="Times New Roman"/>
                <w:b w:val="0"/>
                <w:bCs w:val="0"/>
                <w:kern w:val="2"/>
                <w:sz w:val="21"/>
                <w:szCs w:val="21"/>
                <w:highlight w:val="none"/>
                <w:lang w:val="en-US" w:eastAsia="zh-CN" w:bidi="ar"/>
              </w:rPr>
              <w:t>建筑涂料用罩光清漆</w:t>
            </w:r>
          </w:p>
        </w:tc>
        <w:tc>
          <w:tcPr>
            <w:tcW w:w="1494" w:type="pct"/>
            <w:noWrap w:val="0"/>
            <w:vAlign w:val="center"/>
          </w:tcPr>
          <w:p w14:paraId="24B3B5BE">
            <w:pPr>
              <w:pStyle w:val="4"/>
              <w:keepNext w:val="0"/>
              <w:keepLines w:val="0"/>
              <w:widowControl/>
              <w:suppressLineNumbers w:val="0"/>
              <w:shd w:val="clear" w:color="auto" w:fill="FFFFFF"/>
              <w:ind w:left="0" w:leftChars="0" w:firstLine="0" w:firstLineChars="0"/>
              <w:jc w:val="center"/>
              <w:outlineLvl w:val="2"/>
              <w:rPr>
                <w:rFonts w:hint="default" w:ascii="Times New Roman" w:hAnsi="Times New Roman" w:eastAsia="宋体" w:cs="Times New Roman"/>
                <w:b w:val="0"/>
                <w:bCs w:val="0"/>
                <w:color w:val="000000"/>
                <w:kern w:val="2"/>
                <w:sz w:val="21"/>
                <w:szCs w:val="21"/>
                <w:highlight w:val="none"/>
                <w:u w:val="none"/>
                <w:lang w:val="en-US" w:eastAsia="zh-CN" w:bidi="ar"/>
              </w:rPr>
            </w:pPr>
            <w:r>
              <w:rPr>
                <w:rStyle w:val="160"/>
                <w:rFonts w:hint="default" w:ascii="Times New Roman" w:hAnsi="Times New Roman" w:eastAsia="宋体" w:cs="Times New Roman"/>
                <w:b w:val="0"/>
                <w:bCs w:val="0"/>
                <w:kern w:val="2"/>
                <w:sz w:val="21"/>
                <w:szCs w:val="21"/>
                <w:highlight w:val="none"/>
                <w:lang w:val="en-US" w:eastAsia="zh-CN" w:bidi="ar"/>
              </w:rPr>
              <w:t>HG/T 5065</w:t>
            </w:r>
          </w:p>
        </w:tc>
      </w:tr>
      <w:tr w14:paraId="47CEE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733" w:type="pct"/>
            <w:noWrap w:val="0"/>
            <w:vAlign w:val="center"/>
          </w:tcPr>
          <w:p w14:paraId="326C3891">
            <w:pPr>
              <w:widowControl/>
              <w:numPr>
                <w:ilvl w:val="0"/>
                <w:numId w:val="0"/>
              </w:numPr>
              <w:adjustRightInd w:val="0"/>
              <w:snapToGrid w:val="0"/>
              <w:ind w:left="0" w:leftChars="0" w:firstLine="0" w:firstLineChars="0"/>
              <w:jc w:val="center"/>
              <w:textAlignment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sz w:val="21"/>
                <w:szCs w:val="21"/>
                <w:highlight w:val="none"/>
                <w:lang w:val="en-US" w:eastAsia="zh-CN"/>
              </w:rPr>
              <w:t>13</w:t>
            </w:r>
          </w:p>
        </w:tc>
        <w:tc>
          <w:tcPr>
            <w:tcW w:w="2771" w:type="pct"/>
            <w:noWrap w:val="0"/>
            <w:vAlign w:val="center"/>
          </w:tcPr>
          <w:p w14:paraId="74D8ABD7">
            <w:pPr>
              <w:keepNext w:val="0"/>
              <w:keepLines w:val="0"/>
              <w:widowControl/>
              <w:suppressLineNumbers w:val="0"/>
              <w:jc w:val="center"/>
              <w:rPr>
                <w:rFonts w:hint="default" w:ascii="Times New Roman" w:hAnsi="Times New Roman" w:eastAsia="宋体" w:cs="Times New Roman"/>
                <w:color w:val="000000"/>
                <w:kern w:val="2"/>
                <w:sz w:val="21"/>
                <w:szCs w:val="21"/>
                <w:highlight w:val="none"/>
                <w:lang w:val="en-US" w:eastAsia="zh-CN" w:bidi="ar-SA"/>
              </w:rPr>
            </w:pPr>
            <w:r>
              <w:rPr>
                <w:rFonts w:hint="default" w:ascii="Times New Roman" w:hAnsi="Times New Roman" w:eastAsia="宋体" w:cs="Times New Roman"/>
                <w:color w:val="000000"/>
                <w:kern w:val="0"/>
                <w:sz w:val="21"/>
                <w:szCs w:val="21"/>
                <w:highlight w:val="none"/>
                <w:lang w:val="en-US" w:eastAsia="zh-CN" w:bidi="ar"/>
              </w:rPr>
              <w:t>水溶性内墙涂料</w:t>
            </w:r>
          </w:p>
        </w:tc>
        <w:tc>
          <w:tcPr>
            <w:tcW w:w="1494" w:type="pct"/>
            <w:noWrap w:val="0"/>
            <w:vAlign w:val="center"/>
          </w:tcPr>
          <w:p w14:paraId="792D21FE">
            <w:pPr>
              <w:jc w:val="center"/>
              <w:rPr>
                <w:rFonts w:hint="default" w:ascii="Times New Roman" w:hAnsi="Times New Roman" w:eastAsia="宋体" w:cs="Times New Roman"/>
                <w:color w:val="000000"/>
                <w:kern w:val="2"/>
                <w:sz w:val="21"/>
                <w:szCs w:val="21"/>
                <w:highlight w:val="none"/>
                <w:lang w:val="en-US" w:eastAsia="zh-CN" w:bidi="ar-SA"/>
              </w:rPr>
            </w:pPr>
            <w:r>
              <w:rPr>
                <w:rFonts w:hint="default" w:ascii="Times New Roman" w:hAnsi="Times New Roman" w:eastAsia="宋体" w:cs="Times New Roman"/>
                <w:color w:val="000000"/>
                <w:sz w:val="21"/>
                <w:szCs w:val="21"/>
                <w:highlight w:val="none"/>
                <w:lang w:val="en-US" w:eastAsia="zh-CN"/>
              </w:rPr>
              <w:t>JC/T 423</w:t>
            </w:r>
          </w:p>
        </w:tc>
      </w:tr>
      <w:tr w14:paraId="2ED74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733" w:type="pct"/>
            <w:noWrap w:val="0"/>
            <w:vAlign w:val="center"/>
          </w:tcPr>
          <w:p w14:paraId="690021A9">
            <w:pPr>
              <w:widowControl/>
              <w:numPr>
                <w:ilvl w:val="0"/>
                <w:numId w:val="0"/>
              </w:numPr>
              <w:adjustRightInd w:val="0"/>
              <w:snapToGrid w:val="0"/>
              <w:ind w:left="0" w:leftChars="0" w:firstLine="0" w:firstLineChars="0"/>
              <w:jc w:val="center"/>
              <w:textAlignment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sz w:val="21"/>
                <w:szCs w:val="21"/>
                <w:highlight w:val="none"/>
                <w:lang w:val="en-US" w:eastAsia="zh-CN"/>
              </w:rPr>
              <w:t>14</w:t>
            </w:r>
          </w:p>
        </w:tc>
        <w:tc>
          <w:tcPr>
            <w:tcW w:w="2771" w:type="pct"/>
            <w:noWrap w:val="0"/>
            <w:vAlign w:val="center"/>
          </w:tcPr>
          <w:p w14:paraId="7098326B">
            <w:pPr>
              <w:pStyle w:val="4"/>
              <w:keepNext w:val="0"/>
              <w:keepLines w:val="0"/>
              <w:widowControl/>
              <w:suppressLineNumbers w:val="0"/>
              <w:shd w:val="clear" w:color="auto" w:fill="FFFFFF"/>
              <w:ind w:left="0" w:leftChars="0" w:firstLine="0" w:firstLineChars="0"/>
              <w:jc w:val="center"/>
              <w:outlineLvl w:val="2"/>
              <w:rPr>
                <w:rFonts w:hint="default" w:ascii="Times New Roman" w:hAnsi="Times New Roman" w:eastAsia="宋体" w:cs="Times New Roman"/>
                <w:b w:val="0"/>
                <w:bCs w:val="0"/>
                <w:color w:val="000000"/>
                <w:kern w:val="2"/>
                <w:sz w:val="21"/>
                <w:szCs w:val="21"/>
                <w:highlight w:val="none"/>
                <w:u w:val="none"/>
                <w:lang w:val="en-US" w:eastAsia="zh-CN" w:bidi="ar"/>
              </w:rPr>
            </w:pPr>
            <w:r>
              <w:rPr>
                <w:rStyle w:val="160"/>
                <w:rFonts w:hint="default" w:ascii="Times New Roman" w:hAnsi="Times New Roman" w:eastAsia="宋体" w:cs="Times New Roman"/>
                <w:b w:val="0"/>
                <w:bCs w:val="0"/>
                <w:kern w:val="2"/>
                <w:sz w:val="21"/>
                <w:szCs w:val="21"/>
                <w:highlight w:val="none"/>
                <w:lang w:val="en-US" w:eastAsia="zh-CN" w:bidi="ar"/>
              </w:rPr>
              <w:t>建筑外表面用热反射隔热涂料</w:t>
            </w:r>
          </w:p>
        </w:tc>
        <w:tc>
          <w:tcPr>
            <w:tcW w:w="1494" w:type="pct"/>
            <w:noWrap w:val="0"/>
            <w:vAlign w:val="center"/>
          </w:tcPr>
          <w:p w14:paraId="2F18C1D5">
            <w:pPr>
              <w:pStyle w:val="4"/>
              <w:keepNext w:val="0"/>
              <w:keepLines w:val="0"/>
              <w:widowControl/>
              <w:suppressLineNumbers w:val="0"/>
              <w:shd w:val="clear" w:color="auto" w:fill="FFFFFF"/>
              <w:ind w:left="0" w:leftChars="0" w:firstLine="0" w:firstLineChars="0"/>
              <w:jc w:val="center"/>
              <w:outlineLvl w:val="2"/>
              <w:rPr>
                <w:rFonts w:hint="default" w:ascii="Times New Roman" w:hAnsi="Times New Roman" w:eastAsia="宋体" w:cs="Times New Roman"/>
                <w:b w:val="0"/>
                <w:bCs w:val="0"/>
                <w:color w:val="000000"/>
                <w:kern w:val="2"/>
                <w:sz w:val="21"/>
                <w:szCs w:val="21"/>
                <w:highlight w:val="none"/>
                <w:u w:val="none"/>
                <w:lang w:val="en-US" w:eastAsia="zh-CN" w:bidi="ar"/>
              </w:rPr>
            </w:pPr>
            <w:r>
              <w:rPr>
                <w:rStyle w:val="160"/>
                <w:rFonts w:hint="default" w:ascii="Times New Roman" w:hAnsi="Times New Roman" w:eastAsia="宋体" w:cs="Times New Roman"/>
                <w:b w:val="0"/>
                <w:bCs w:val="0"/>
                <w:kern w:val="2"/>
                <w:sz w:val="21"/>
                <w:szCs w:val="21"/>
                <w:highlight w:val="none"/>
                <w:lang w:val="en-US" w:eastAsia="zh-CN" w:bidi="ar"/>
              </w:rPr>
              <w:t>JC/T 1040</w:t>
            </w:r>
          </w:p>
        </w:tc>
      </w:tr>
      <w:tr w14:paraId="5B522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733" w:type="pct"/>
            <w:noWrap w:val="0"/>
            <w:vAlign w:val="center"/>
          </w:tcPr>
          <w:p w14:paraId="74627BC3">
            <w:pPr>
              <w:widowControl/>
              <w:numPr>
                <w:ilvl w:val="0"/>
                <w:numId w:val="0"/>
              </w:numPr>
              <w:adjustRightInd w:val="0"/>
              <w:snapToGrid w:val="0"/>
              <w:ind w:left="0" w:leftChars="0" w:firstLine="0" w:firstLineChars="0"/>
              <w:jc w:val="center"/>
              <w:textAlignment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sz w:val="21"/>
                <w:szCs w:val="21"/>
                <w:highlight w:val="none"/>
                <w:lang w:val="en-US" w:eastAsia="zh-CN"/>
              </w:rPr>
              <w:t>15</w:t>
            </w:r>
          </w:p>
        </w:tc>
        <w:tc>
          <w:tcPr>
            <w:tcW w:w="2771" w:type="pct"/>
            <w:noWrap w:val="0"/>
            <w:vAlign w:val="center"/>
          </w:tcPr>
          <w:p w14:paraId="3A54116A">
            <w:pPr>
              <w:jc w:val="center"/>
              <w:rPr>
                <w:rFonts w:hint="default" w:ascii="Times New Roman" w:hAnsi="Times New Roman" w:eastAsia="宋体" w:cs="Times New Roman"/>
                <w:color w:val="000000"/>
                <w:kern w:val="2"/>
                <w:sz w:val="21"/>
                <w:szCs w:val="21"/>
                <w:highlight w:val="none"/>
                <w:lang w:val="en-US" w:eastAsia="zh-CN" w:bidi="ar-SA"/>
              </w:rPr>
            </w:pPr>
            <w:r>
              <w:rPr>
                <w:rFonts w:hint="default" w:ascii="Times New Roman" w:hAnsi="Times New Roman" w:eastAsia="宋体" w:cs="Times New Roman"/>
                <w:color w:val="000000"/>
                <w:sz w:val="21"/>
                <w:szCs w:val="21"/>
                <w:highlight w:val="none"/>
                <w:lang w:val="en-US" w:eastAsia="zh-CN"/>
              </w:rPr>
              <w:t>建筑用弹性质感涂层材料</w:t>
            </w:r>
          </w:p>
        </w:tc>
        <w:tc>
          <w:tcPr>
            <w:tcW w:w="1494" w:type="pct"/>
            <w:noWrap w:val="0"/>
            <w:vAlign w:val="center"/>
          </w:tcPr>
          <w:p w14:paraId="51CE0044">
            <w:pPr>
              <w:bidi w:val="0"/>
              <w:jc w:val="center"/>
              <w:rPr>
                <w:rFonts w:hint="default" w:ascii="Times New Roman" w:hAnsi="Times New Roman" w:eastAsia="宋体" w:cs="Times New Roman"/>
                <w:color w:val="000000"/>
                <w:kern w:val="2"/>
                <w:sz w:val="21"/>
                <w:szCs w:val="21"/>
                <w:highlight w:val="none"/>
                <w:lang w:val="en-US" w:eastAsia="zh-CN" w:bidi="ar-SA"/>
              </w:rPr>
            </w:pPr>
            <w:r>
              <w:rPr>
                <w:rFonts w:hint="default" w:ascii="Times New Roman" w:hAnsi="Times New Roman" w:eastAsia="宋体" w:cs="Times New Roman"/>
                <w:sz w:val="21"/>
                <w:szCs w:val="21"/>
                <w:highlight w:val="none"/>
                <w:lang w:val="en-US" w:eastAsia="zh-CN"/>
              </w:rPr>
              <w:t>JC/T 2079</w:t>
            </w:r>
          </w:p>
        </w:tc>
      </w:tr>
      <w:tr w14:paraId="67430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733" w:type="pct"/>
            <w:noWrap w:val="0"/>
            <w:vAlign w:val="center"/>
          </w:tcPr>
          <w:p w14:paraId="16CBCD74">
            <w:pPr>
              <w:widowControl/>
              <w:numPr>
                <w:ilvl w:val="0"/>
                <w:numId w:val="0"/>
              </w:numPr>
              <w:adjustRightInd w:val="0"/>
              <w:snapToGrid w:val="0"/>
              <w:ind w:left="0" w:leftChars="0" w:firstLine="0" w:firstLineChars="0"/>
              <w:jc w:val="center"/>
              <w:textAlignment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sz w:val="21"/>
                <w:szCs w:val="21"/>
                <w:highlight w:val="none"/>
                <w:lang w:val="en-US" w:eastAsia="zh-CN"/>
              </w:rPr>
              <w:t>16</w:t>
            </w:r>
          </w:p>
        </w:tc>
        <w:tc>
          <w:tcPr>
            <w:tcW w:w="2771" w:type="pct"/>
            <w:noWrap w:val="0"/>
            <w:vAlign w:val="center"/>
          </w:tcPr>
          <w:p w14:paraId="60FDFB54">
            <w:pPr>
              <w:pStyle w:val="4"/>
              <w:keepNext w:val="0"/>
              <w:keepLines w:val="0"/>
              <w:widowControl/>
              <w:suppressLineNumbers w:val="0"/>
              <w:shd w:val="clear" w:color="auto" w:fill="FFFFFF"/>
              <w:ind w:left="0" w:leftChars="0" w:firstLine="0" w:firstLineChars="0"/>
              <w:jc w:val="center"/>
              <w:outlineLvl w:val="2"/>
              <w:rPr>
                <w:rFonts w:hint="default" w:ascii="Times New Roman" w:hAnsi="Times New Roman" w:eastAsia="宋体" w:cs="Times New Roman"/>
                <w:b/>
                <w:bCs/>
                <w:color w:val="000000"/>
                <w:kern w:val="0"/>
                <w:sz w:val="21"/>
                <w:szCs w:val="21"/>
                <w:highlight w:val="none"/>
                <w:lang w:val="en-US" w:eastAsia="zh-CN" w:bidi="ar"/>
              </w:rPr>
            </w:pPr>
            <w:r>
              <w:rPr>
                <w:rStyle w:val="160"/>
                <w:rFonts w:hint="default" w:ascii="Times New Roman" w:hAnsi="Times New Roman" w:eastAsia="宋体" w:cs="Times New Roman"/>
                <w:b w:val="0"/>
                <w:bCs w:val="0"/>
                <w:kern w:val="2"/>
                <w:sz w:val="21"/>
                <w:szCs w:val="21"/>
                <w:highlight w:val="none"/>
                <w:lang w:val="en-US" w:eastAsia="zh-CN" w:bidi="ar"/>
              </w:rPr>
              <w:t>建筑用水基无机干粉室内装饰材料</w:t>
            </w:r>
          </w:p>
        </w:tc>
        <w:tc>
          <w:tcPr>
            <w:tcW w:w="1494" w:type="pct"/>
            <w:noWrap w:val="0"/>
            <w:vAlign w:val="center"/>
          </w:tcPr>
          <w:p w14:paraId="65F7E0CA">
            <w:pPr>
              <w:bidi w:val="0"/>
              <w:jc w:val="center"/>
              <w:rPr>
                <w:rFonts w:hint="default" w:ascii="Times New Roman" w:hAnsi="Times New Roman" w:eastAsia="宋体" w:cs="Times New Roman"/>
                <w:color w:val="000000"/>
                <w:kern w:val="2"/>
                <w:sz w:val="21"/>
                <w:szCs w:val="21"/>
                <w:highlight w:val="none"/>
                <w:lang w:val="en-US" w:eastAsia="zh-CN" w:bidi="ar-SA"/>
              </w:rPr>
            </w:pPr>
            <w:r>
              <w:rPr>
                <w:rFonts w:hint="default" w:ascii="Times New Roman" w:hAnsi="Times New Roman" w:eastAsia="宋体" w:cs="Times New Roman"/>
                <w:sz w:val="21"/>
                <w:szCs w:val="21"/>
                <w:highlight w:val="none"/>
                <w:lang w:val="en-US" w:eastAsia="zh-CN"/>
              </w:rPr>
              <w:t>JC/T 2083</w:t>
            </w:r>
          </w:p>
        </w:tc>
      </w:tr>
      <w:tr w14:paraId="5757D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733" w:type="pct"/>
            <w:noWrap w:val="0"/>
            <w:vAlign w:val="center"/>
          </w:tcPr>
          <w:p w14:paraId="4003323C">
            <w:pPr>
              <w:widowControl/>
              <w:numPr>
                <w:ilvl w:val="0"/>
                <w:numId w:val="0"/>
              </w:numPr>
              <w:adjustRightInd w:val="0"/>
              <w:snapToGrid w:val="0"/>
              <w:ind w:left="0" w:leftChars="0" w:firstLine="0" w:firstLineChars="0"/>
              <w:jc w:val="center"/>
              <w:textAlignment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sz w:val="21"/>
                <w:szCs w:val="21"/>
                <w:highlight w:val="none"/>
                <w:lang w:val="en-US" w:eastAsia="zh-CN"/>
              </w:rPr>
              <w:t>17</w:t>
            </w:r>
          </w:p>
        </w:tc>
        <w:tc>
          <w:tcPr>
            <w:tcW w:w="2771" w:type="pct"/>
            <w:noWrap w:val="0"/>
            <w:vAlign w:val="center"/>
          </w:tcPr>
          <w:p w14:paraId="1537920F">
            <w:pPr>
              <w:jc w:val="center"/>
              <w:rPr>
                <w:rFonts w:hint="default" w:ascii="Times New Roman" w:hAnsi="Times New Roman" w:eastAsia="宋体" w:cs="Times New Roman"/>
                <w:color w:val="000000"/>
                <w:kern w:val="2"/>
                <w:sz w:val="21"/>
                <w:szCs w:val="21"/>
                <w:highlight w:val="none"/>
                <w:lang w:val="en-US" w:eastAsia="zh-CN" w:bidi="ar-SA"/>
              </w:rPr>
            </w:pPr>
            <w:r>
              <w:rPr>
                <w:rFonts w:hint="default" w:ascii="Times New Roman" w:hAnsi="Times New Roman" w:eastAsia="宋体" w:cs="Times New Roman"/>
                <w:color w:val="000000"/>
                <w:sz w:val="21"/>
                <w:szCs w:val="21"/>
                <w:highlight w:val="none"/>
                <w:lang w:val="en-US" w:eastAsia="zh-CN"/>
              </w:rPr>
              <w:t>合成树脂乳液砂壁状建筑涂料</w:t>
            </w:r>
          </w:p>
        </w:tc>
        <w:tc>
          <w:tcPr>
            <w:tcW w:w="1494" w:type="pct"/>
            <w:noWrap w:val="0"/>
            <w:vAlign w:val="center"/>
          </w:tcPr>
          <w:p w14:paraId="7FC38D29">
            <w:pPr>
              <w:bidi w:val="0"/>
              <w:jc w:val="center"/>
              <w:rPr>
                <w:rFonts w:hint="default" w:ascii="Times New Roman" w:hAnsi="Times New Roman" w:eastAsia="宋体" w:cs="Times New Roman"/>
                <w:color w:val="000000"/>
                <w:kern w:val="2"/>
                <w:sz w:val="21"/>
                <w:szCs w:val="21"/>
                <w:highlight w:val="none"/>
                <w:lang w:val="en-US" w:eastAsia="zh-CN" w:bidi="ar-SA"/>
              </w:rPr>
            </w:pPr>
            <w:r>
              <w:rPr>
                <w:rFonts w:hint="default" w:ascii="Times New Roman" w:hAnsi="Times New Roman" w:eastAsia="宋体" w:cs="Times New Roman"/>
                <w:sz w:val="21"/>
                <w:szCs w:val="21"/>
                <w:highlight w:val="none"/>
                <w:lang w:val="en-US" w:eastAsia="zh-CN"/>
              </w:rPr>
              <w:t>JG/T 24</w:t>
            </w:r>
          </w:p>
        </w:tc>
      </w:tr>
      <w:tr w14:paraId="7ED45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733" w:type="pct"/>
            <w:noWrap w:val="0"/>
            <w:vAlign w:val="center"/>
          </w:tcPr>
          <w:p w14:paraId="04589DC4">
            <w:pPr>
              <w:widowControl/>
              <w:numPr>
                <w:ilvl w:val="0"/>
                <w:numId w:val="0"/>
              </w:numPr>
              <w:adjustRightInd w:val="0"/>
              <w:snapToGrid w:val="0"/>
              <w:ind w:left="0" w:leftChars="0" w:firstLine="0" w:firstLineChars="0"/>
              <w:jc w:val="center"/>
              <w:textAlignment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18</w:t>
            </w:r>
          </w:p>
        </w:tc>
        <w:tc>
          <w:tcPr>
            <w:tcW w:w="2771" w:type="pct"/>
            <w:noWrap w:val="0"/>
            <w:vAlign w:val="center"/>
          </w:tcPr>
          <w:p w14:paraId="493D6317">
            <w:pPr>
              <w:pStyle w:val="4"/>
              <w:keepNext w:val="0"/>
              <w:keepLines w:val="0"/>
              <w:widowControl/>
              <w:suppressLineNumbers w:val="0"/>
              <w:shd w:val="clear" w:color="auto" w:fill="FFFFFF"/>
              <w:ind w:left="0" w:leftChars="0" w:firstLine="0" w:firstLineChars="0"/>
              <w:jc w:val="center"/>
              <w:outlineLvl w:val="2"/>
              <w:rPr>
                <w:rFonts w:hint="default" w:ascii="Times New Roman" w:hAnsi="Times New Roman" w:eastAsia="宋体" w:cs="Times New Roman"/>
                <w:b w:val="0"/>
                <w:bCs w:val="0"/>
                <w:color w:val="000000"/>
                <w:kern w:val="2"/>
                <w:sz w:val="21"/>
                <w:szCs w:val="21"/>
                <w:highlight w:val="none"/>
                <w:u w:val="none"/>
                <w:lang w:val="en-US" w:eastAsia="zh-CN" w:bidi="ar"/>
              </w:rPr>
            </w:pPr>
            <w:r>
              <w:rPr>
                <w:rStyle w:val="160"/>
                <w:rFonts w:hint="default" w:ascii="Times New Roman" w:hAnsi="Times New Roman" w:eastAsia="宋体" w:cs="Times New Roman"/>
                <w:b w:val="0"/>
                <w:bCs w:val="0"/>
                <w:kern w:val="2"/>
                <w:sz w:val="21"/>
                <w:szCs w:val="21"/>
                <w:highlight w:val="none"/>
                <w:lang w:val="en-US" w:eastAsia="zh-CN" w:bidi="ar"/>
              </w:rPr>
              <w:t>外墙无机建筑涂料</w:t>
            </w:r>
          </w:p>
        </w:tc>
        <w:tc>
          <w:tcPr>
            <w:tcW w:w="1494" w:type="pct"/>
            <w:noWrap w:val="0"/>
            <w:vAlign w:val="center"/>
          </w:tcPr>
          <w:p w14:paraId="703A93B7">
            <w:pPr>
              <w:pStyle w:val="4"/>
              <w:keepNext w:val="0"/>
              <w:keepLines w:val="0"/>
              <w:widowControl/>
              <w:suppressLineNumbers w:val="0"/>
              <w:shd w:val="clear" w:color="auto" w:fill="FFFFFF"/>
              <w:ind w:left="0" w:leftChars="0" w:firstLine="0" w:firstLineChars="0"/>
              <w:jc w:val="center"/>
              <w:outlineLvl w:val="2"/>
              <w:rPr>
                <w:rFonts w:hint="default" w:ascii="Times New Roman" w:hAnsi="Times New Roman" w:eastAsia="宋体" w:cs="Times New Roman"/>
                <w:b w:val="0"/>
                <w:bCs w:val="0"/>
                <w:color w:val="000000"/>
                <w:kern w:val="2"/>
                <w:sz w:val="21"/>
                <w:szCs w:val="21"/>
                <w:highlight w:val="none"/>
                <w:u w:val="none"/>
                <w:lang w:val="en-US" w:eastAsia="zh-CN" w:bidi="ar"/>
              </w:rPr>
            </w:pPr>
            <w:r>
              <w:rPr>
                <w:rStyle w:val="160"/>
                <w:rFonts w:hint="default" w:ascii="Times New Roman" w:hAnsi="Times New Roman" w:eastAsia="宋体" w:cs="Times New Roman"/>
                <w:b w:val="0"/>
                <w:bCs w:val="0"/>
                <w:kern w:val="2"/>
                <w:sz w:val="21"/>
                <w:szCs w:val="21"/>
                <w:highlight w:val="none"/>
                <w:lang w:val="en-US" w:eastAsia="zh-CN" w:bidi="ar"/>
              </w:rPr>
              <w:t>JG/T 26</w:t>
            </w:r>
          </w:p>
        </w:tc>
      </w:tr>
      <w:tr w14:paraId="2E4E3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733" w:type="pct"/>
            <w:noWrap w:val="0"/>
            <w:vAlign w:val="center"/>
          </w:tcPr>
          <w:p w14:paraId="0426A590">
            <w:pPr>
              <w:widowControl/>
              <w:numPr>
                <w:ilvl w:val="0"/>
                <w:numId w:val="0"/>
              </w:numPr>
              <w:adjustRightInd w:val="0"/>
              <w:snapToGrid w:val="0"/>
              <w:ind w:left="0" w:leftChars="0" w:firstLine="0" w:firstLineChars="0"/>
              <w:jc w:val="center"/>
              <w:textAlignment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19</w:t>
            </w:r>
          </w:p>
        </w:tc>
        <w:tc>
          <w:tcPr>
            <w:tcW w:w="2771" w:type="pct"/>
            <w:noWrap w:val="0"/>
            <w:vAlign w:val="center"/>
          </w:tcPr>
          <w:p w14:paraId="16F4DF13">
            <w:pPr>
              <w:jc w:val="center"/>
              <w:rPr>
                <w:rFonts w:hint="default" w:ascii="Times New Roman" w:hAnsi="Times New Roman" w:eastAsia="宋体" w:cs="Times New Roman"/>
                <w:color w:val="000000"/>
                <w:kern w:val="2"/>
                <w:sz w:val="21"/>
                <w:szCs w:val="21"/>
                <w:highlight w:val="none"/>
                <w:u w:val="none"/>
                <w:lang w:val="en-US" w:eastAsia="zh-CN" w:bidi="ar"/>
              </w:rPr>
            </w:pPr>
            <w:r>
              <w:rPr>
                <w:rStyle w:val="160"/>
                <w:rFonts w:hint="default" w:ascii="Times New Roman" w:hAnsi="Times New Roman" w:eastAsia="宋体" w:cs="Times New Roman"/>
                <w:color w:val="000000"/>
                <w:sz w:val="21"/>
                <w:szCs w:val="21"/>
                <w:highlight w:val="none"/>
                <w:lang w:val="en-US" w:eastAsia="zh-CN" w:bidi="ar"/>
              </w:rPr>
              <w:t>弹性建筑涂料</w:t>
            </w:r>
          </w:p>
        </w:tc>
        <w:tc>
          <w:tcPr>
            <w:tcW w:w="1494" w:type="pct"/>
            <w:noWrap w:val="0"/>
            <w:vAlign w:val="center"/>
          </w:tcPr>
          <w:p w14:paraId="1BF1FD0B">
            <w:pPr>
              <w:bidi w:val="0"/>
              <w:jc w:val="center"/>
              <w:rPr>
                <w:rFonts w:hint="default" w:ascii="Times New Roman" w:hAnsi="Times New Roman" w:eastAsia="宋体" w:cs="Times New Roman"/>
                <w:color w:val="000000"/>
                <w:kern w:val="2"/>
                <w:sz w:val="21"/>
                <w:szCs w:val="21"/>
                <w:highlight w:val="none"/>
                <w:lang w:val="en-US" w:eastAsia="zh-CN" w:bidi="ar-SA"/>
              </w:rPr>
            </w:pPr>
            <w:r>
              <w:rPr>
                <w:rFonts w:hint="default" w:ascii="Times New Roman" w:hAnsi="Times New Roman" w:eastAsia="宋体" w:cs="Times New Roman"/>
                <w:sz w:val="21"/>
                <w:szCs w:val="21"/>
                <w:highlight w:val="none"/>
                <w:lang w:val="en-US" w:eastAsia="zh-CN"/>
              </w:rPr>
              <w:t>JG/T 172</w:t>
            </w:r>
          </w:p>
        </w:tc>
      </w:tr>
      <w:tr w14:paraId="70316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733" w:type="pct"/>
            <w:noWrap w:val="0"/>
            <w:vAlign w:val="center"/>
          </w:tcPr>
          <w:p w14:paraId="4372293E">
            <w:pPr>
              <w:widowControl/>
              <w:numPr>
                <w:ilvl w:val="0"/>
                <w:numId w:val="0"/>
              </w:numPr>
              <w:adjustRightInd w:val="0"/>
              <w:snapToGrid w:val="0"/>
              <w:ind w:left="0" w:leftChars="0" w:firstLine="0" w:firstLineChars="0"/>
              <w:jc w:val="center"/>
              <w:textAlignment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20</w:t>
            </w:r>
          </w:p>
        </w:tc>
        <w:tc>
          <w:tcPr>
            <w:tcW w:w="2771" w:type="pct"/>
            <w:noWrap w:val="0"/>
            <w:vAlign w:val="center"/>
          </w:tcPr>
          <w:p w14:paraId="3244F699">
            <w:pPr>
              <w:pStyle w:val="4"/>
              <w:keepNext w:val="0"/>
              <w:keepLines w:val="0"/>
              <w:widowControl/>
              <w:suppressLineNumbers w:val="0"/>
              <w:shd w:val="clear" w:color="auto" w:fill="FFFFFF"/>
              <w:ind w:left="0" w:leftChars="0" w:firstLine="0" w:firstLineChars="0"/>
              <w:jc w:val="center"/>
              <w:outlineLvl w:val="2"/>
              <w:rPr>
                <w:rFonts w:hint="default" w:ascii="Times New Roman" w:hAnsi="Times New Roman" w:eastAsia="宋体" w:cs="Times New Roman"/>
                <w:b w:val="0"/>
                <w:bCs w:val="0"/>
                <w:color w:val="000000"/>
                <w:kern w:val="2"/>
                <w:sz w:val="21"/>
                <w:szCs w:val="21"/>
                <w:highlight w:val="none"/>
                <w:u w:val="none"/>
                <w:lang w:val="en-US" w:eastAsia="zh-CN" w:bidi="ar"/>
              </w:rPr>
            </w:pPr>
            <w:r>
              <w:rPr>
                <w:rStyle w:val="160"/>
                <w:rFonts w:hint="default" w:ascii="Times New Roman" w:hAnsi="Times New Roman" w:eastAsia="宋体" w:cs="Times New Roman"/>
                <w:b w:val="0"/>
                <w:bCs w:val="0"/>
                <w:kern w:val="2"/>
                <w:sz w:val="21"/>
                <w:szCs w:val="21"/>
                <w:highlight w:val="none"/>
                <w:lang w:val="en-US" w:eastAsia="zh-CN" w:bidi="ar"/>
              </w:rPr>
              <w:t>外墙外保温用丙烯酸涂料</w:t>
            </w:r>
          </w:p>
        </w:tc>
        <w:tc>
          <w:tcPr>
            <w:tcW w:w="1494" w:type="pct"/>
            <w:noWrap w:val="0"/>
            <w:vAlign w:val="center"/>
          </w:tcPr>
          <w:p w14:paraId="4B076B1F">
            <w:pPr>
              <w:pStyle w:val="4"/>
              <w:keepNext w:val="0"/>
              <w:keepLines w:val="0"/>
              <w:widowControl/>
              <w:suppressLineNumbers w:val="0"/>
              <w:shd w:val="clear" w:color="auto" w:fill="FFFFFF"/>
              <w:ind w:left="0" w:leftChars="0" w:firstLine="0" w:firstLineChars="0"/>
              <w:jc w:val="center"/>
              <w:outlineLvl w:val="2"/>
              <w:rPr>
                <w:rFonts w:hint="default" w:ascii="Times New Roman" w:hAnsi="Times New Roman" w:eastAsia="宋体" w:cs="Times New Roman"/>
                <w:b w:val="0"/>
                <w:bCs w:val="0"/>
                <w:color w:val="000000"/>
                <w:kern w:val="2"/>
                <w:sz w:val="21"/>
                <w:szCs w:val="21"/>
                <w:highlight w:val="none"/>
                <w:u w:val="none"/>
                <w:lang w:val="en-US" w:eastAsia="zh-CN" w:bidi="ar"/>
              </w:rPr>
            </w:pPr>
            <w:r>
              <w:rPr>
                <w:rStyle w:val="160"/>
                <w:rFonts w:hint="default" w:ascii="Times New Roman" w:hAnsi="Times New Roman" w:eastAsia="宋体" w:cs="Times New Roman"/>
                <w:b w:val="0"/>
                <w:bCs w:val="0"/>
                <w:kern w:val="2"/>
                <w:sz w:val="21"/>
                <w:szCs w:val="21"/>
                <w:highlight w:val="none"/>
                <w:lang w:val="en-US" w:eastAsia="zh-CN" w:bidi="ar"/>
              </w:rPr>
              <w:t>JG/T 206</w:t>
            </w:r>
          </w:p>
        </w:tc>
      </w:tr>
      <w:tr w14:paraId="662F8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733" w:type="pct"/>
            <w:noWrap w:val="0"/>
            <w:vAlign w:val="center"/>
          </w:tcPr>
          <w:p w14:paraId="148F2E8C">
            <w:pPr>
              <w:widowControl/>
              <w:numPr>
                <w:ilvl w:val="0"/>
                <w:numId w:val="0"/>
              </w:numPr>
              <w:adjustRightInd w:val="0"/>
              <w:snapToGrid w:val="0"/>
              <w:ind w:left="0" w:leftChars="0" w:firstLine="0" w:firstLineChars="0"/>
              <w:jc w:val="center"/>
              <w:textAlignment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21</w:t>
            </w:r>
          </w:p>
        </w:tc>
        <w:tc>
          <w:tcPr>
            <w:tcW w:w="2771" w:type="pct"/>
            <w:noWrap w:val="0"/>
            <w:vAlign w:val="center"/>
          </w:tcPr>
          <w:p w14:paraId="6BADDB9E">
            <w:pPr>
              <w:pStyle w:val="4"/>
              <w:keepNext w:val="0"/>
              <w:keepLines w:val="0"/>
              <w:widowControl/>
              <w:suppressLineNumbers w:val="0"/>
              <w:shd w:val="clear" w:color="auto" w:fill="FFFFFF"/>
              <w:ind w:left="0" w:leftChars="0" w:firstLine="0" w:firstLineChars="0"/>
              <w:jc w:val="center"/>
              <w:outlineLvl w:val="2"/>
              <w:rPr>
                <w:rFonts w:hint="default" w:ascii="Times New Roman" w:hAnsi="Times New Roman" w:eastAsia="宋体" w:cs="Times New Roman"/>
                <w:b w:val="0"/>
                <w:bCs w:val="0"/>
                <w:color w:val="000000"/>
                <w:kern w:val="2"/>
                <w:sz w:val="21"/>
                <w:szCs w:val="21"/>
                <w:highlight w:val="none"/>
                <w:u w:val="none"/>
                <w:lang w:val="en-US" w:eastAsia="zh-CN" w:bidi="ar"/>
              </w:rPr>
            </w:pPr>
            <w:r>
              <w:rPr>
                <w:rStyle w:val="160"/>
                <w:rFonts w:hint="default" w:ascii="Times New Roman" w:hAnsi="Times New Roman" w:eastAsia="宋体" w:cs="Times New Roman"/>
                <w:b w:val="0"/>
                <w:bCs w:val="0"/>
                <w:kern w:val="2"/>
                <w:sz w:val="21"/>
                <w:szCs w:val="21"/>
                <w:highlight w:val="none"/>
                <w:lang w:val="en-US" w:eastAsia="zh-CN" w:bidi="ar"/>
              </w:rPr>
              <w:t>建筑内外墙用底漆</w:t>
            </w:r>
          </w:p>
        </w:tc>
        <w:tc>
          <w:tcPr>
            <w:tcW w:w="1494" w:type="pct"/>
            <w:noWrap w:val="0"/>
            <w:vAlign w:val="center"/>
          </w:tcPr>
          <w:p w14:paraId="742A78FD">
            <w:pPr>
              <w:pStyle w:val="4"/>
              <w:keepNext w:val="0"/>
              <w:keepLines w:val="0"/>
              <w:widowControl/>
              <w:suppressLineNumbers w:val="0"/>
              <w:shd w:val="clear" w:color="auto" w:fill="FFFFFF"/>
              <w:ind w:left="0" w:leftChars="0" w:firstLine="0" w:firstLineChars="0"/>
              <w:jc w:val="center"/>
              <w:outlineLvl w:val="2"/>
              <w:rPr>
                <w:rFonts w:hint="default" w:ascii="Times New Roman" w:hAnsi="Times New Roman" w:eastAsia="宋体" w:cs="Times New Roman"/>
                <w:b w:val="0"/>
                <w:bCs w:val="0"/>
                <w:color w:val="000000"/>
                <w:kern w:val="2"/>
                <w:sz w:val="21"/>
                <w:szCs w:val="21"/>
                <w:highlight w:val="none"/>
                <w:u w:val="none"/>
                <w:lang w:val="en-US" w:eastAsia="zh-CN" w:bidi="ar"/>
              </w:rPr>
            </w:pPr>
            <w:r>
              <w:rPr>
                <w:rStyle w:val="160"/>
                <w:rFonts w:hint="default" w:ascii="Times New Roman" w:hAnsi="Times New Roman" w:eastAsia="宋体" w:cs="Times New Roman"/>
                <w:b w:val="0"/>
                <w:bCs w:val="0"/>
                <w:kern w:val="2"/>
                <w:sz w:val="21"/>
                <w:szCs w:val="21"/>
                <w:highlight w:val="none"/>
                <w:lang w:val="en-US" w:eastAsia="zh-CN" w:bidi="ar"/>
              </w:rPr>
              <w:t>JG/T 210</w:t>
            </w:r>
          </w:p>
        </w:tc>
      </w:tr>
      <w:tr w14:paraId="3C527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733" w:type="pct"/>
            <w:noWrap w:val="0"/>
            <w:vAlign w:val="center"/>
          </w:tcPr>
          <w:p w14:paraId="2EE8A9BE">
            <w:pPr>
              <w:widowControl/>
              <w:numPr>
                <w:ilvl w:val="0"/>
                <w:numId w:val="0"/>
              </w:numPr>
              <w:adjustRightInd w:val="0"/>
              <w:snapToGrid w:val="0"/>
              <w:ind w:left="0" w:leftChars="0" w:firstLine="0" w:firstLineChars="0"/>
              <w:jc w:val="center"/>
              <w:textAlignment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22</w:t>
            </w:r>
          </w:p>
        </w:tc>
        <w:tc>
          <w:tcPr>
            <w:tcW w:w="2771" w:type="pct"/>
            <w:noWrap w:val="0"/>
            <w:vAlign w:val="center"/>
          </w:tcPr>
          <w:p w14:paraId="26179D80">
            <w:pPr>
              <w:jc w:val="center"/>
              <w:rPr>
                <w:rFonts w:hint="default" w:ascii="Times New Roman" w:hAnsi="Times New Roman" w:eastAsia="宋体" w:cs="Times New Roman"/>
                <w:color w:val="000000"/>
                <w:kern w:val="2"/>
                <w:sz w:val="21"/>
                <w:szCs w:val="21"/>
                <w:highlight w:val="none"/>
                <w:lang w:val="en-US" w:eastAsia="zh-CN" w:bidi="ar-SA"/>
              </w:rPr>
            </w:pPr>
            <w:r>
              <w:rPr>
                <w:rFonts w:hint="default" w:ascii="Times New Roman" w:hAnsi="Times New Roman" w:eastAsia="宋体" w:cs="Times New Roman"/>
                <w:color w:val="000000"/>
                <w:sz w:val="21"/>
                <w:szCs w:val="21"/>
                <w:highlight w:val="none"/>
                <w:lang w:val="en-US" w:eastAsia="zh-CN"/>
              </w:rPr>
              <w:t>建筑反射隔热涂料</w:t>
            </w:r>
          </w:p>
        </w:tc>
        <w:tc>
          <w:tcPr>
            <w:tcW w:w="1494" w:type="pct"/>
            <w:noWrap w:val="0"/>
            <w:vAlign w:val="center"/>
          </w:tcPr>
          <w:p w14:paraId="38B1D09C">
            <w:pPr>
              <w:jc w:val="center"/>
              <w:rPr>
                <w:rFonts w:hint="default" w:ascii="Times New Roman" w:hAnsi="Times New Roman" w:eastAsia="宋体" w:cs="Times New Roman"/>
                <w:color w:val="000000"/>
                <w:kern w:val="2"/>
                <w:sz w:val="21"/>
                <w:szCs w:val="21"/>
                <w:highlight w:val="none"/>
                <w:lang w:val="en-US" w:eastAsia="zh-CN" w:bidi="ar-SA"/>
              </w:rPr>
            </w:pPr>
            <w:r>
              <w:rPr>
                <w:rFonts w:hint="default" w:ascii="Times New Roman" w:hAnsi="Times New Roman" w:eastAsia="宋体" w:cs="Times New Roman"/>
                <w:color w:val="000000"/>
                <w:sz w:val="21"/>
                <w:szCs w:val="21"/>
                <w:highlight w:val="none"/>
                <w:lang w:val="en-US" w:eastAsia="zh-CN"/>
              </w:rPr>
              <w:t>JG/T 235</w:t>
            </w:r>
          </w:p>
        </w:tc>
      </w:tr>
      <w:tr w14:paraId="316F5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733" w:type="pct"/>
            <w:noWrap w:val="0"/>
            <w:vAlign w:val="center"/>
          </w:tcPr>
          <w:p w14:paraId="20B8442D">
            <w:pPr>
              <w:widowControl/>
              <w:numPr>
                <w:ilvl w:val="0"/>
                <w:numId w:val="0"/>
              </w:numPr>
              <w:adjustRightInd w:val="0"/>
              <w:snapToGrid w:val="0"/>
              <w:ind w:left="0" w:leftChars="0" w:firstLine="0" w:firstLineChars="0"/>
              <w:jc w:val="center"/>
              <w:textAlignment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23</w:t>
            </w:r>
          </w:p>
        </w:tc>
        <w:tc>
          <w:tcPr>
            <w:tcW w:w="2771" w:type="pct"/>
            <w:noWrap w:val="0"/>
            <w:vAlign w:val="center"/>
          </w:tcPr>
          <w:p w14:paraId="0B472384">
            <w:pPr>
              <w:pStyle w:val="4"/>
              <w:keepNext w:val="0"/>
              <w:keepLines w:val="0"/>
              <w:widowControl/>
              <w:suppressLineNumbers w:val="0"/>
              <w:shd w:val="clear" w:color="auto" w:fill="FFFFFF"/>
              <w:ind w:left="0" w:leftChars="0" w:firstLine="0" w:firstLineChars="0"/>
              <w:jc w:val="center"/>
              <w:outlineLvl w:val="2"/>
              <w:rPr>
                <w:rFonts w:hint="default" w:ascii="Times New Roman" w:hAnsi="Times New Roman" w:eastAsia="宋体" w:cs="Times New Roman"/>
                <w:b w:val="0"/>
                <w:bCs w:val="0"/>
                <w:color w:val="000000"/>
                <w:kern w:val="2"/>
                <w:sz w:val="21"/>
                <w:szCs w:val="21"/>
                <w:highlight w:val="none"/>
                <w:u w:val="none"/>
                <w:lang w:val="en-US" w:eastAsia="zh-CN" w:bidi="ar"/>
              </w:rPr>
            </w:pPr>
            <w:r>
              <w:rPr>
                <w:rStyle w:val="160"/>
                <w:rFonts w:hint="default" w:ascii="Times New Roman" w:hAnsi="Times New Roman" w:eastAsia="宋体" w:cs="Times New Roman"/>
                <w:b w:val="0"/>
                <w:bCs w:val="0"/>
                <w:kern w:val="2"/>
                <w:sz w:val="21"/>
                <w:szCs w:val="21"/>
                <w:highlight w:val="none"/>
                <w:lang w:val="en-US" w:eastAsia="zh-CN" w:bidi="ar"/>
              </w:rPr>
              <w:t>建筑用防涂鸦抗粘贴涂料</w:t>
            </w:r>
          </w:p>
        </w:tc>
        <w:tc>
          <w:tcPr>
            <w:tcW w:w="1494" w:type="pct"/>
            <w:noWrap w:val="0"/>
            <w:vAlign w:val="center"/>
          </w:tcPr>
          <w:p w14:paraId="488DE621">
            <w:pPr>
              <w:pStyle w:val="4"/>
              <w:keepNext w:val="0"/>
              <w:keepLines w:val="0"/>
              <w:widowControl/>
              <w:suppressLineNumbers w:val="0"/>
              <w:shd w:val="clear" w:color="auto" w:fill="FFFFFF"/>
              <w:ind w:left="0" w:leftChars="0" w:firstLine="0" w:firstLineChars="0"/>
              <w:jc w:val="center"/>
              <w:outlineLvl w:val="2"/>
              <w:rPr>
                <w:rFonts w:hint="default" w:ascii="Times New Roman" w:hAnsi="Times New Roman" w:eastAsia="宋体" w:cs="Times New Roman"/>
                <w:b w:val="0"/>
                <w:bCs w:val="0"/>
                <w:color w:val="000000"/>
                <w:kern w:val="2"/>
                <w:sz w:val="21"/>
                <w:szCs w:val="21"/>
                <w:highlight w:val="none"/>
                <w:u w:val="none"/>
                <w:lang w:val="en-US" w:eastAsia="zh-CN" w:bidi="ar"/>
              </w:rPr>
            </w:pPr>
            <w:r>
              <w:rPr>
                <w:rStyle w:val="160"/>
                <w:rFonts w:hint="default" w:ascii="Times New Roman" w:hAnsi="Times New Roman" w:eastAsia="宋体" w:cs="Times New Roman"/>
                <w:b w:val="0"/>
                <w:bCs w:val="0"/>
                <w:kern w:val="2"/>
                <w:sz w:val="21"/>
                <w:szCs w:val="21"/>
                <w:highlight w:val="none"/>
                <w:lang w:val="en-US" w:eastAsia="zh-CN" w:bidi="ar"/>
              </w:rPr>
              <w:t>JG/T 304</w:t>
            </w:r>
          </w:p>
        </w:tc>
      </w:tr>
      <w:tr w14:paraId="27ECC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733" w:type="pct"/>
            <w:noWrap w:val="0"/>
            <w:vAlign w:val="center"/>
          </w:tcPr>
          <w:p w14:paraId="24F0006E">
            <w:pPr>
              <w:widowControl/>
              <w:numPr>
                <w:ilvl w:val="0"/>
                <w:numId w:val="0"/>
              </w:numPr>
              <w:adjustRightInd w:val="0"/>
              <w:snapToGrid w:val="0"/>
              <w:ind w:left="0" w:leftChars="0" w:firstLine="0" w:firstLineChars="0"/>
              <w:jc w:val="center"/>
              <w:textAlignment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24</w:t>
            </w:r>
          </w:p>
        </w:tc>
        <w:tc>
          <w:tcPr>
            <w:tcW w:w="2771" w:type="pct"/>
            <w:noWrap w:val="0"/>
            <w:vAlign w:val="center"/>
          </w:tcPr>
          <w:p w14:paraId="732E6A3F">
            <w:pPr>
              <w:pStyle w:val="4"/>
              <w:keepNext w:val="0"/>
              <w:keepLines w:val="0"/>
              <w:widowControl/>
              <w:suppressLineNumbers w:val="0"/>
              <w:shd w:val="clear" w:color="auto" w:fill="FFFFFF"/>
              <w:ind w:left="0" w:leftChars="0" w:firstLine="0" w:firstLineChars="0"/>
              <w:jc w:val="center"/>
              <w:outlineLvl w:val="2"/>
              <w:rPr>
                <w:rFonts w:hint="default" w:ascii="Times New Roman" w:hAnsi="Times New Roman" w:eastAsia="宋体" w:cs="Times New Roman"/>
                <w:b w:val="0"/>
                <w:bCs w:val="0"/>
                <w:color w:val="000000"/>
                <w:kern w:val="2"/>
                <w:sz w:val="21"/>
                <w:szCs w:val="21"/>
                <w:highlight w:val="none"/>
                <w:u w:val="none"/>
                <w:lang w:val="en-US" w:eastAsia="zh-CN" w:bidi="ar"/>
              </w:rPr>
            </w:pPr>
            <w:r>
              <w:rPr>
                <w:rStyle w:val="160"/>
                <w:rFonts w:hint="default" w:ascii="Times New Roman" w:hAnsi="Times New Roman" w:eastAsia="宋体" w:cs="Times New Roman"/>
                <w:b w:val="0"/>
                <w:bCs w:val="0"/>
                <w:kern w:val="2"/>
                <w:sz w:val="21"/>
                <w:szCs w:val="21"/>
                <w:highlight w:val="none"/>
                <w:lang w:val="en-US" w:eastAsia="zh-CN" w:bidi="ar"/>
              </w:rPr>
              <w:t>建筑无机仿砖涂料</w:t>
            </w:r>
          </w:p>
        </w:tc>
        <w:tc>
          <w:tcPr>
            <w:tcW w:w="1494" w:type="pct"/>
            <w:noWrap w:val="0"/>
            <w:vAlign w:val="center"/>
          </w:tcPr>
          <w:p w14:paraId="26849BFD">
            <w:pPr>
              <w:pStyle w:val="4"/>
              <w:keepNext w:val="0"/>
              <w:keepLines w:val="0"/>
              <w:widowControl/>
              <w:suppressLineNumbers w:val="0"/>
              <w:shd w:val="clear" w:color="auto" w:fill="FFFFFF"/>
              <w:ind w:left="0" w:leftChars="0" w:firstLine="0" w:firstLineChars="0"/>
              <w:jc w:val="center"/>
              <w:outlineLvl w:val="2"/>
              <w:rPr>
                <w:rFonts w:hint="default" w:ascii="Times New Roman" w:hAnsi="Times New Roman" w:eastAsia="宋体" w:cs="Times New Roman"/>
                <w:b w:val="0"/>
                <w:bCs w:val="0"/>
                <w:color w:val="000000"/>
                <w:kern w:val="2"/>
                <w:sz w:val="21"/>
                <w:szCs w:val="21"/>
                <w:highlight w:val="none"/>
                <w:u w:val="none"/>
                <w:lang w:val="en-US" w:eastAsia="zh-CN" w:bidi="ar"/>
              </w:rPr>
            </w:pPr>
            <w:r>
              <w:rPr>
                <w:rStyle w:val="160"/>
                <w:rFonts w:hint="default" w:ascii="Times New Roman" w:hAnsi="Times New Roman" w:eastAsia="宋体" w:cs="Times New Roman"/>
                <w:b w:val="0"/>
                <w:bCs w:val="0"/>
                <w:kern w:val="2"/>
                <w:sz w:val="21"/>
                <w:szCs w:val="21"/>
                <w:highlight w:val="none"/>
                <w:lang w:val="en-US" w:eastAsia="zh-CN" w:bidi="ar"/>
              </w:rPr>
              <w:t>JG/T 444</w:t>
            </w:r>
          </w:p>
        </w:tc>
      </w:tr>
      <w:tr w14:paraId="4B75F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733" w:type="pct"/>
            <w:noWrap w:val="0"/>
            <w:vAlign w:val="center"/>
          </w:tcPr>
          <w:p w14:paraId="07AE38D7">
            <w:pPr>
              <w:widowControl/>
              <w:numPr>
                <w:ilvl w:val="0"/>
                <w:numId w:val="0"/>
              </w:numPr>
              <w:adjustRightInd w:val="0"/>
              <w:snapToGrid w:val="0"/>
              <w:ind w:left="0" w:leftChars="0" w:firstLine="0" w:firstLineChars="0"/>
              <w:jc w:val="center"/>
              <w:textAlignment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25</w:t>
            </w:r>
          </w:p>
        </w:tc>
        <w:tc>
          <w:tcPr>
            <w:tcW w:w="2771" w:type="pct"/>
            <w:noWrap w:val="0"/>
            <w:vAlign w:val="center"/>
          </w:tcPr>
          <w:p w14:paraId="6ED601A8">
            <w:pPr>
              <w:widowControl/>
              <w:numPr>
                <w:ilvl w:val="0"/>
                <w:numId w:val="0"/>
              </w:numPr>
              <w:adjustRightInd w:val="0"/>
              <w:snapToGrid w:val="0"/>
              <w:ind w:left="0" w:leftChars="0" w:firstLine="0" w:firstLineChars="0"/>
              <w:jc w:val="center"/>
              <w:textAlignment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无机干粉建筑涂料</w:t>
            </w:r>
          </w:p>
        </w:tc>
        <w:tc>
          <w:tcPr>
            <w:tcW w:w="1494" w:type="pct"/>
            <w:noWrap w:val="0"/>
            <w:vAlign w:val="center"/>
          </w:tcPr>
          <w:p w14:paraId="3BB9AFEF">
            <w:pPr>
              <w:widowControl/>
              <w:numPr>
                <w:ilvl w:val="0"/>
                <w:numId w:val="0"/>
              </w:numPr>
              <w:adjustRightInd w:val="0"/>
              <w:snapToGrid w:val="0"/>
              <w:ind w:left="0" w:leftChars="0" w:firstLine="0" w:firstLineChars="0"/>
              <w:jc w:val="center"/>
              <w:textAlignment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JG/T 445</w:t>
            </w:r>
          </w:p>
        </w:tc>
      </w:tr>
      <w:tr w14:paraId="035F4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733" w:type="pct"/>
            <w:noWrap w:val="0"/>
            <w:vAlign w:val="center"/>
          </w:tcPr>
          <w:p w14:paraId="4CE020CA">
            <w:pPr>
              <w:widowControl/>
              <w:numPr>
                <w:ilvl w:val="0"/>
                <w:numId w:val="0"/>
              </w:numPr>
              <w:adjustRightInd w:val="0"/>
              <w:snapToGrid w:val="0"/>
              <w:ind w:left="0" w:leftChars="0" w:firstLine="0" w:firstLineChars="0"/>
              <w:jc w:val="center"/>
              <w:textAlignment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26</w:t>
            </w:r>
          </w:p>
        </w:tc>
        <w:tc>
          <w:tcPr>
            <w:tcW w:w="2771" w:type="pct"/>
            <w:noWrap w:val="0"/>
            <w:vAlign w:val="center"/>
          </w:tcPr>
          <w:p w14:paraId="5B27B3A3">
            <w:pPr>
              <w:widowControl/>
              <w:numPr>
                <w:ilvl w:val="0"/>
                <w:numId w:val="0"/>
              </w:numPr>
              <w:adjustRightInd w:val="0"/>
              <w:snapToGrid w:val="0"/>
              <w:ind w:left="0" w:leftChars="0" w:firstLine="0" w:firstLineChars="0"/>
              <w:jc w:val="center"/>
              <w:textAlignment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低挥发性有机化合物（</w:t>
            </w:r>
            <w:r>
              <w:rPr>
                <w:rFonts w:hint="eastAsia" w:ascii="Times New Roman" w:hAnsi="Times New Roman" w:eastAsia="宋体" w:cs="Times New Roman"/>
                <w:kern w:val="2"/>
                <w:sz w:val="21"/>
                <w:szCs w:val="21"/>
                <w:highlight w:val="none"/>
                <w:lang w:val="en-US" w:eastAsia="zh-CN" w:bidi="ar-SA"/>
              </w:rPr>
              <w:t>VOC</w:t>
            </w:r>
            <w:r>
              <w:rPr>
                <w:rFonts w:hint="default" w:ascii="Times New Roman" w:hAnsi="Times New Roman" w:eastAsia="宋体" w:cs="Times New Roman"/>
                <w:kern w:val="2"/>
                <w:sz w:val="21"/>
                <w:szCs w:val="21"/>
                <w:highlight w:val="none"/>
                <w:lang w:val="en-US" w:eastAsia="zh-CN" w:bidi="ar-SA"/>
              </w:rPr>
              <w:t>）水性内墙涂覆材料</w:t>
            </w:r>
          </w:p>
        </w:tc>
        <w:tc>
          <w:tcPr>
            <w:tcW w:w="1494" w:type="pct"/>
            <w:noWrap w:val="0"/>
            <w:vAlign w:val="center"/>
          </w:tcPr>
          <w:p w14:paraId="6FDF3258">
            <w:pPr>
              <w:widowControl/>
              <w:numPr>
                <w:ilvl w:val="0"/>
                <w:numId w:val="0"/>
              </w:numPr>
              <w:adjustRightInd w:val="0"/>
              <w:snapToGrid w:val="0"/>
              <w:ind w:left="0" w:leftChars="0" w:firstLine="0" w:firstLineChars="0"/>
              <w:jc w:val="center"/>
              <w:textAlignment w:val="center"/>
              <w:rPr>
                <w:rFonts w:hint="default"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JG/T 481</w:t>
            </w:r>
          </w:p>
        </w:tc>
      </w:tr>
      <w:tr w14:paraId="6C1C5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733" w:type="pct"/>
            <w:noWrap w:val="0"/>
            <w:vAlign w:val="center"/>
          </w:tcPr>
          <w:p w14:paraId="40E0F10D">
            <w:pPr>
              <w:widowControl/>
              <w:numPr>
                <w:ilvl w:val="0"/>
                <w:numId w:val="0"/>
              </w:numPr>
              <w:adjustRightInd w:val="0"/>
              <w:snapToGrid w:val="0"/>
              <w:ind w:left="0" w:leftChars="0" w:firstLine="0" w:firstLineChars="0"/>
              <w:jc w:val="center"/>
              <w:textAlignment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27</w:t>
            </w:r>
          </w:p>
        </w:tc>
        <w:tc>
          <w:tcPr>
            <w:tcW w:w="2771" w:type="pct"/>
            <w:noWrap w:val="0"/>
            <w:vAlign w:val="center"/>
          </w:tcPr>
          <w:p w14:paraId="6EF9ABEF">
            <w:pPr>
              <w:widowControl/>
              <w:numPr>
                <w:ilvl w:val="0"/>
                <w:numId w:val="0"/>
              </w:numPr>
              <w:adjustRightInd w:val="0"/>
              <w:snapToGrid w:val="0"/>
              <w:ind w:left="0" w:leftChars="0" w:firstLine="0" w:firstLineChars="0"/>
              <w:jc w:val="center"/>
              <w:textAlignment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外墙水性氟涂料</w:t>
            </w:r>
          </w:p>
        </w:tc>
        <w:tc>
          <w:tcPr>
            <w:tcW w:w="1494" w:type="pct"/>
            <w:noWrap w:val="0"/>
            <w:vAlign w:val="center"/>
          </w:tcPr>
          <w:p w14:paraId="02AE278B">
            <w:pPr>
              <w:widowControl/>
              <w:numPr>
                <w:ilvl w:val="0"/>
                <w:numId w:val="0"/>
              </w:numPr>
              <w:adjustRightInd w:val="0"/>
              <w:snapToGrid w:val="0"/>
              <w:ind w:left="0" w:leftChars="0" w:firstLine="0" w:firstLineChars="0"/>
              <w:jc w:val="center"/>
              <w:textAlignment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JG/T 508</w:t>
            </w:r>
          </w:p>
        </w:tc>
      </w:tr>
    </w:tbl>
    <w:p w14:paraId="28DD346E">
      <w:pPr>
        <w:rPr>
          <w:rFonts w:hint="eastAsia" w:ascii="黑体" w:hAnsi="黑体" w:eastAsia="黑体" w:cs="黑体"/>
          <w:sz w:val="28"/>
          <w:szCs w:val="32"/>
          <w:highlight w:val="none"/>
        </w:rPr>
      </w:pPr>
      <w:r>
        <w:rPr>
          <w:rFonts w:hint="eastAsia" w:ascii="黑体" w:hAnsi="黑体" w:eastAsia="黑体" w:cs="黑体"/>
          <w:sz w:val="28"/>
          <w:szCs w:val="32"/>
          <w:highlight w:val="none"/>
        </w:rPr>
        <w:br w:type="page"/>
      </w:r>
    </w:p>
    <w:p w14:paraId="2E6E07BB">
      <w:pPr>
        <w:adjustRightInd w:val="0"/>
        <w:snapToGrid w:val="0"/>
        <w:spacing w:before="120" w:beforeLines="50" w:after="120" w:afterLines="50" w:line="360" w:lineRule="exact"/>
        <w:jc w:val="center"/>
        <w:outlineLvl w:val="0"/>
        <w:rPr>
          <w:rFonts w:hint="eastAsia" w:ascii="黑体" w:hAnsi="宋体" w:eastAsia="黑体"/>
          <w:sz w:val="21"/>
          <w:szCs w:val="21"/>
          <w:lang w:eastAsia="zh-CN"/>
        </w:rPr>
      </w:pPr>
      <w:bookmarkStart w:id="54" w:name="_Toc10801"/>
      <w:r>
        <w:rPr>
          <w:rFonts w:hint="eastAsia" w:ascii="黑体" w:hAnsi="宋体" w:eastAsia="黑体"/>
          <w:sz w:val="21"/>
          <w:szCs w:val="21"/>
        </w:rPr>
        <w:t>附录</w:t>
      </w:r>
      <w:r>
        <w:rPr>
          <w:rFonts w:hint="eastAsia" w:ascii="黑体" w:hAnsi="宋体" w:eastAsia="黑体"/>
          <w:sz w:val="21"/>
          <w:szCs w:val="21"/>
          <w:lang w:val="en-US" w:eastAsia="zh-CN"/>
        </w:rPr>
        <w:t>B</w:t>
      </w:r>
      <w:bookmarkEnd w:id="50"/>
      <w:bookmarkEnd w:id="54"/>
      <w:bookmarkStart w:id="55" w:name="_Toc27490"/>
    </w:p>
    <w:p w14:paraId="4C8C429B">
      <w:pPr>
        <w:adjustRightInd w:val="0"/>
        <w:snapToGrid w:val="0"/>
        <w:spacing w:before="120" w:beforeLines="50" w:after="120" w:afterLines="50" w:line="360" w:lineRule="exact"/>
        <w:jc w:val="center"/>
        <w:outlineLvl w:val="0"/>
        <w:rPr>
          <w:rFonts w:hint="eastAsia" w:ascii="黑体" w:hAnsi="宋体" w:eastAsia="黑体"/>
          <w:sz w:val="21"/>
          <w:szCs w:val="21"/>
          <w:lang w:eastAsia="zh-CN"/>
        </w:rPr>
      </w:pPr>
      <w:bookmarkStart w:id="56" w:name="_Toc8244"/>
      <w:r>
        <w:rPr>
          <w:rFonts w:hint="eastAsia" w:ascii="黑体" w:hAnsi="宋体" w:eastAsia="黑体"/>
          <w:sz w:val="21"/>
          <w:szCs w:val="21"/>
        </w:rPr>
        <w:t>（资料性）</w:t>
      </w:r>
      <w:bookmarkEnd w:id="56"/>
    </w:p>
    <w:p w14:paraId="385AD132">
      <w:pPr>
        <w:adjustRightInd w:val="0"/>
        <w:snapToGrid w:val="0"/>
        <w:spacing w:before="120" w:beforeLines="50" w:after="120" w:afterLines="50" w:line="360" w:lineRule="exact"/>
        <w:jc w:val="center"/>
        <w:outlineLvl w:val="0"/>
        <w:rPr>
          <w:rFonts w:hint="eastAsia" w:ascii="黑体" w:hAnsi="宋体" w:eastAsia="黑体"/>
          <w:sz w:val="21"/>
          <w:szCs w:val="21"/>
        </w:rPr>
      </w:pPr>
      <w:bookmarkStart w:id="57" w:name="_Toc15140"/>
      <w:r>
        <w:rPr>
          <w:rFonts w:hint="eastAsia" w:ascii="黑体" w:hAnsi="宋体" w:eastAsia="黑体"/>
          <w:sz w:val="21"/>
          <w:szCs w:val="21"/>
        </w:rPr>
        <w:t>现场数据采集信息</w:t>
      </w:r>
      <w:bookmarkEnd w:id="51"/>
      <w:bookmarkEnd w:id="55"/>
      <w:bookmarkEnd w:id="57"/>
    </w:p>
    <w:p w14:paraId="158940CB">
      <w:pPr>
        <w:spacing w:line="276" w:lineRule="auto"/>
        <w:ind w:firstLine="420" w:firstLineChars="200"/>
        <w:rPr>
          <w:szCs w:val="21"/>
          <w:highlight w:val="none"/>
        </w:rPr>
      </w:pPr>
      <w:r>
        <w:rPr>
          <w:rFonts w:ascii="Times New Roman"/>
          <w:highlight w:val="none"/>
        </w:rPr>
        <w:t>按产品对应标准要求</w:t>
      </w:r>
      <w:r>
        <w:rPr>
          <w:rFonts w:hint="eastAsia"/>
          <w:highlight w:val="none"/>
          <w:lang w:val="en-US" w:eastAsia="zh-CN"/>
        </w:rPr>
        <w:t>分别进行现场数据采集，</w:t>
      </w:r>
      <w:r>
        <w:rPr>
          <w:szCs w:val="21"/>
          <w:highlight w:val="none"/>
        </w:rPr>
        <w:t>现场数据采集</w:t>
      </w:r>
      <w:r>
        <w:rPr>
          <w:rFonts w:hint="eastAsia"/>
          <w:szCs w:val="21"/>
          <w:highlight w:val="none"/>
          <w:lang w:val="en-US" w:eastAsia="zh-CN"/>
        </w:rPr>
        <w:t>信息</w:t>
      </w:r>
      <w:r>
        <w:rPr>
          <w:szCs w:val="21"/>
          <w:highlight w:val="none"/>
        </w:rPr>
        <w:t>见表</w:t>
      </w:r>
      <w:r>
        <w:rPr>
          <w:rFonts w:hint="eastAsia"/>
          <w:szCs w:val="21"/>
          <w:highlight w:val="none"/>
          <w:lang w:val="en-US" w:eastAsia="zh-CN"/>
        </w:rPr>
        <w:t>B</w:t>
      </w:r>
      <w:r>
        <w:rPr>
          <w:szCs w:val="21"/>
          <w:highlight w:val="none"/>
        </w:rPr>
        <w:t>.1。</w:t>
      </w:r>
    </w:p>
    <w:p w14:paraId="6431386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szCs w:val="21"/>
          <w:highlight w:val="none"/>
        </w:rPr>
      </w:pPr>
      <w:r>
        <w:rPr>
          <w:rFonts w:hint="eastAsia" w:ascii="黑体" w:hAnsi="黑体" w:eastAsia="黑体" w:cs="黑体"/>
          <w:szCs w:val="21"/>
          <w:highlight w:val="none"/>
        </w:rPr>
        <w:t>表</w:t>
      </w:r>
      <w:r>
        <w:rPr>
          <w:rFonts w:hint="eastAsia" w:ascii="黑体" w:hAnsi="黑体" w:eastAsia="黑体" w:cs="黑体"/>
          <w:szCs w:val="21"/>
          <w:highlight w:val="none"/>
          <w:lang w:val="en-US" w:eastAsia="zh-CN"/>
        </w:rPr>
        <w:t>B</w:t>
      </w:r>
      <w:r>
        <w:rPr>
          <w:rFonts w:hint="eastAsia" w:ascii="黑体" w:hAnsi="黑体" w:eastAsia="黑体" w:cs="黑体"/>
          <w:szCs w:val="21"/>
          <w:highlight w:val="none"/>
        </w:rPr>
        <w:t>.1 现场数据采集表</w:t>
      </w:r>
    </w:p>
    <w:tbl>
      <w:tblPr>
        <w:tblStyle w:val="36"/>
        <w:tblpPr w:leftFromText="181" w:rightFromText="181" w:vertAnchor="text" w:horzAnchor="page" w:tblpX="1016" w:tblpY="1"/>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630"/>
        <w:gridCol w:w="243"/>
        <w:gridCol w:w="1126"/>
        <w:gridCol w:w="333"/>
        <w:gridCol w:w="347"/>
        <w:gridCol w:w="357"/>
        <w:gridCol w:w="371"/>
        <w:gridCol w:w="263"/>
        <w:gridCol w:w="419"/>
        <w:gridCol w:w="285"/>
        <w:gridCol w:w="441"/>
        <w:gridCol w:w="263"/>
        <w:gridCol w:w="1425"/>
        <w:gridCol w:w="385"/>
        <w:gridCol w:w="746"/>
        <w:gridCol w:w="46"/>
        <w:gridCol w:w="80"/>
        <w:gridCol w:w="1379"/>
      </w:tblGrid>
      <w:tr w14:paraId="42E9A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16" w:type="pct"/>
            <w:vMerge w:val="restart"/>
            <w:noWrap w:val="0"/>
            <w:vAlign w:val="center"/>
          </w:tcPr>
          <w:p w14:paraId="1503A7FB">
            <w:pPr>
              <w:keepNext w:val="0"/>
              <w:keepLines w:val="0"/>
              <w:pageBreakBefore w:val="0"/>
              <w:widowControl/>
              <w:kinsoku/>
              <w:wordWrap/>
              <w:overflowPunct/>
              <w:topLinePunct w:val="0"/>
              <w:autoSpaceDE/>
              <w:autoSpaceDN/>
              <w:bidi w:val="0"/>
              <w:adjustRightInd/>
              <w:snapToGrid/>
              <w:spacing w:line="240" w:lineRule="auto"/>
              <w:jc w:val="left"/>
              <w:textAlignment w:val="auto"/>
              <w:rPr>
                <w:sz w:val="18"/>
                <w:szCs w:val="18"/>
              </w:rPr>
            </w:pPr>
            <w:r>
              <w:rPr>
                <w:szCs w:val="21"/>
                <w:highlight w:val="none"/>
              </w:rPr>
              <w:br w:type="page"/>
            </w:r>
            <w:r>
              <w:rPr>
                <w:sz w:val="18"/>
                <w:szCs w:val="18"/>
              </w:rPr>
              <w:t>基本信息</w:t>
            </w:r>
          </w:p>
        </w:tc>
        <w:tc>
          <w:tcPr>
            <w:tcW w:w="1170" w:type="pct"/>
            <w:gridSpan w:val="4"/>
            <w:noWrap w:val="0"/>
            <w:vAlign w:val="center"/>
          </w:tcPr>
          <w:p w14:paraId="6AB367E9">
            <w:pPr>
              <w:keepNext w:val="0"/>
              <w:keepLines w:val="0"/>
              <w:pageBreakBefore w:val="0"/>
              <w:kinsoku/>
              <w:wordWrap/>
              <w:overflowPunct/>
              <w:topLinePunct w:val="0"/>
              <w:autoSpaceDE/>
              <w:autoSpaceDN/>
              <w:bidi w:val="0"/>
              <w:adjustRightInd/>
              <w:snapToGrid/>
              <w:spacing w:line="240" w:lineRule="auto"/>
              <w:jc w:val="center"/>
              <w:textAlignment w:val="auto"/>
              <w:rPr>
                <w:sz w:val="18"/>
                <w:szCs w:val="18"/>
              </w:rPr>
            </w:pPr>
            <w:r>
              <w:rPr>
                <w:sz w:val="18"/>
                <w:szCs w:val="18"/>
              </w:rPr>
              <w:t>企业名称</w:t>
            </w:r>
          </w:p>
        </w:tc>
        <w:tc>
          <w:tcPr>
            <w:tcW w:w="3412" w:type="pct"/>
            <w:gridSpan w:val="14"/>
            <w:noWrap w:val="0"/>
            <w:vAlign w:val="center"/>
          </w:tcPr>
          <w:p w14:paraId="02AD065B">
            <w:pPr>
              <w:keepNext w:val="0"/>
              <w:keepLines w:val="0"/>
              <w:pageBreakBefore w:val="0"/>
              <w:kinsoku/>
              <w:wordWrap/>
              <w:overflowPunct/>
              <w:topLinePunct w:val="0"/>
              <w:autoSpaceDE/>
              <w:autoSpaceDN/>
              <w:bidi w:val="0"/>
              <w:adjustRightInd/>
              <w:snapToGrid/>
              <w:spacing w:line="240" w:lineRule="auto"/>
              <w:jc w:val="center"/>
              <w:textAlignment w:val="auto"/>
              <w:rPr>
                <w:sz w:val="18"/>
                <w:szCs w:val="18"/>
              </w:rPr>
            </w:pPr>
          </w:p>
        </w:tc>
      </w:tr>
      <w:tr w14:paraId="20D05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16" w:type="pct"/>
            <w:vMerge w:val="continue"/>
            <w:noWrap w:val="0"/>
            <w:vAlign w:val="top"/>
          </w:tcPr>
          <w:p w14:paraId="344A47F9">
            <w:pPr>
              <w:snapToGrid w:val="0"/>
              <w:spacing w:line="276" w:lineRule="auto"/>
              <w:jc w:val="center"/>
              <w:rPr>
                <w:sz w:val="18"/>
                <w:szCs w:val="18"/>
              </w:rPr>
            </w:pPr>
          </w:p>
        </w:tc>
        <w:tc>
          <w:tcPr>
            <w:tcW w:w="1170" w:type="pct"/>
            <w:gridSpan w:val="4"/>
            <w:noWrap w:val="0"/>
            <w:vAlign w:val="center"/>
          </w:tcPr>
          <w:p w14:paraId="16935F60">
            <w:pPr>
              <w:snapToGrid w:val="0"/>
              <w:spacing w:line="276" w:lineRule="auto"/>
              <w:jc w:val="center"/>
              <w:rPr>
                <w:sz w:val="18"/>
                <w:szCs w:val="18"/>
              </w:rPr>
            </w:pPr>
            <w:r>
              <w:rPr>
                <w:sz w:val="18"/>
                <w:szCs w:val="18"/>
              </w:rPr>
              <w:t>企业所属省份</w:t>
            </w:r>
          </w:p>
        </w:tc>
        <w:tc>
          <w:tcPr>
            <w:tcW w:w="3412" w:type="pct"/>
            <w:gridSpan w:val="14"/>
            <w:noWrap w:val="0"/>
            <w:vAlign w:val="center"/>
          </w:tcPr>
          <w:p w14:paraId="021B71CA">
            <w:pPr>
              <w:snapToGrid w:val="0"/>
              <w:spacing w:line="276" w:lineRule="auto"/>
              <w:jc w:val="center"/>
              <w:rPr>
                <w:sz w:val="18"/>
                <w:szCs w:val="18"/>
              </w:rPr>
            </w:pPr>
          </w:p>
        </w:tc>
      </w:tr>
      <w:tr w14:paraId="61EED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16" w:type="pct"/>
            <w:vMerge w:val="continue"/>
            <w:noWrap w:val="0"/>
            <w:vAlign w:val="top"/>
          </w:tcPr>
          <w:p w14:paraId="74EEF36A">
            <w:pPr>
              <w:snapToGrid w:val="0"/>
              <w:spacing w:line="276" w:lineRule="auto"/>
              <w:jc w:val="center"/>
              <w:rPr>
                <w:sz w:val="18"/>
                <w:szCs w:val="18"/>
              </w:rPr>
            </w:pPr>
          </w:p>
        </w:tc>
        <w:tc>
          <w:tcPr>
            <w:tcW w:w="1170" w:type="pct"/>
            <w:gridSpan w:val="4"/>
            <w:noWrap w:val="0"/>
            <w:vAlign w:val="center"/>
          </w:tcPr>
          <w:p w14:paraId="3C8509F4">
            <w:pPr>
              <w:snapToGrid w:val="0"/>
              <w:spacing w:line="276" w:lineRule="auto"/>
              <w:jc w:val="center"/>
              <w:rPr>
                <w:sz w:val="18"/>
                <w:szCs w:val="18"/>
              </w:rPr>
            </w:pPr>
            <w:r>
              <w:rPr>
                <w:sz w:val="18"/>
                <w:szCs w:val="18"/>
              </w:rPr>
              <w:t>企业地址</w:t>
            </w:r>
          </w:p>
        </w:tc>
        <w:tc>
          <w:tcPr>
            <w:tcW w:w="3412" w:type="pct"/>
            <w:gridSpan w:val="14"/>
            <w:noWrap w:val="0"/>
            <w:vAlign w:val="center"/>
          </w:tcPr>
          <w:p w14:paraId="68906E33">
            <w:pPr>
              <w:snapToGrid w:val="0"/>
              <w:spacing w:line="276" w:lineRule="auto"/>
              <w:jc w:val="center"/>
              <w:rPr>
                <w:sz w:val="18"/>
                <w:szCs w:val="18"/>
              </w:rPr>
            </w:pPr>
          </w:p>
        </w:tc>
      </w:tr>
      <w:tr w14:paraId="4CF5B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16" w:type="pct"/>
            <w:vMerge w:val="continue"/>
            <w:noWrap w:val="0"/>
            <w:vAlign w:val="top"/>
          </w:tcPr>
          <w:p w14:paraId="1EA77C2E">
            <w:pPr>
              <w:snapToGrid w:val="0"/>
              <w:spacing w:line="276" w:lineRule="auto"/>
              <w:jc w:val="center"/>
              <w:rPr>
                <w:sz w:val="18"/>
                <w:szCs w:val="18"/>
              </w:rPr>
            </w:pPr>
          </w:p>
        </w:tc>
        <w:tc>
          <w:tcPr>
            <w:tcW w:w="1170" w:type="pct"/>
            <w:gridSpan w:val="4"/>
            <w:noWrap w:val="0"/>
            <w:vAlign w:val="center"/>
          </w:tcPr>
          <w:p w14:paraId="7C173EBA">
            <w:pPr>
              <w:snapToGrid w:val="0"/>
              <w:spacing w:line="276" w:lineRule="auto"/>
              <w:jc w:val="center"/>
              <w:rPr>
                <w:sz w:val="18"/>
                <w:szCs w:val="18"/>
              </w:rPr>
            </w:pPr>
            <w:r>
              <w:rPr>
                <w:sz w:val="18"/>
                <w:szCs w:val="18"/>
              </w:rPr>
              <w:t>联系人及联系方式</w:t>
            </w:r>
          </w:p>
        </w:tc>
        <w:tc>
          <w:tcPr>
            <w:tcW w:w="3412" w:type="pct"/>
            <w:gridSpan w:val="14"/>
            <w:noWrap w:val="0"/>
            <w:vAlign w:val="center"/>
          </w:tcPr>
          <w:p w14:paraId="13065AC1">
            <w:pPr>
              <w:snapToGrid w:val="0"/>
              <w:spacing w:line="276" w:lineRule="auto"/>
              <w:jc w:val="center"/>
              <w:rPr>
                <w:sz w:val="18"/>
                <w:szCs w:val="18"/>
              </w:rPr>
            </w:pPr>
          </w:p>
        </w:tc>
      </w:tr>
      <w:tr w14:paraId="103D4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16" w:type="pct"/>
            <w:vMerge w:val="continue"/>
            <w:noWrap w:val="0"/>
            <w:vAlign w:val="top"/>
          </w:tcPr>
          <w:p w14:paraId="64D49683">
            <w:pPr>
              <w:snapToGrid w:val="0"/>
              <w:spacing w:line="276" w:lineRule="auto"/>
              <w:jc w:val="center"/>
              <w:rPr>
                <w:sz w:val="18"/>
                <w:szCs w:val="18"/>
              </w:rPr>
            </w:pPr>
          </w:p>
        </w:tc>
        <w:tc>
          <w:tcPr>
            <w:tcW w:w="1170" w:type="pct"/>
            <w:gridSpan w:val="4"/>
            <w:noWrap w:val="0"/>
            <w:vAlign w:val="center"/>
          </w:tcPr>
          <w:p w14:paraId="7E0CDB68">
            <w:pPr>
              <w:snapToGrid w:val="0"/>
              <w:spacing w:line="276" w:lineRule="auto"/>
              <w:jc w:val="center"/>
              <w:rPr>
                <w:sz w:val="18"/>
                <w:szCs w:val="18"/>
              </w:rPr>
            </w:pPr>
            <w:r>
              <w:rPr>
                <w:sz w:val="18"/>
                <w:szCs w:val="18"/>
              </w:rPr>
              <w:t>生产线数量/设计产能</w:t>
            </w:r>
          </w:p>
        </w:tc>
        <w:tc>
          <w:tcPr>
            <w:tcW w:w="3412" w:type="pct"/>
            <w:gridSpan w:val="14"/>
            <w:noWrap w:val="0"/>
            <w:vAlign w:val="center"/>
          </w:tcPr>
          <w:p w14:paraId="28619A4B">
            <w:pPr>
              <w:snapToGrid w:val="0"/>
              <w:spacing w:line="276" w:lineRule="auto"/>
              <w:jc w:val="center"/>
              <w:rPr>
                <w:sz w:val="18"/>
                <w:szCs w:val="18"/>
              </w:rPr>
            </w:pPr>
            <w:r>
              <w:rPr>
                <w:sz w:val="18"/>
                <w:szCs w:val="18"/>
              </w:rPr>
              <w:t>共_____条，设计产能：_____ / _____/ _____（分线填写）</w:t>
            </w:r>
          </w:p>
        </w:tc>
      </w:tr>
      <w:tr w14:paraId="35172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16" w:type="pct"/>
            <w:vMerge w:val="continue"/>
            <w:noWrap w:val="0"/>
            <w:vAlign w:val="top"/>
          </w:tcPr>
          <w:p w14:paraId="4574A73D">
            <w:pPr>
              <w:snapToGrid w:val="0"/>
              <w:spacing w:line="276" w:lineRule="auto"/>
              <w:jc w:val="center"/>
              <w:rPr>
                <w:sz w:val="18"/>
                <w:szCs w:val="18"/>
              </w:rPr>
            </w:pPr>
          </w:p>
        </w:tc>
        <w:tc>
          <w:tcPr>
            <w:tcW w:w="1170" w:type="pct"/>
            <w:gridSpan w:val="4"/>
            <w:noWrap w:val="0"/>
            <w:vAlign w:val="center"/>
          </w:tcPr>
          <w:p w14:paraId="1EF0356A">
            <w:pPr>
              <w:snapToGrid w:val="0"/>
              <w:spacing w:line="276" w:lineRule="auto"/>
              <w:jc w:val="center"/>
              <w:rPr>
                <w:sz w:val="18"/>
                <w:szCs w:val="18"/>
              </w:rPr>
            </w:pPr>
            <w:r>
              <w:rPr>
                <w:sz w:val="18"/>
                <w:szCs w:val="18"/>
              </w:rPr>
              <w:t>数据统计周期</w:t>
            </w:r>
          </w:p>
        </w:tc>
        <w:tc>
          <w:tcPr>
            <w:tcW w:w="3412" w:type="pct"/>
            <w:gridSpan w:val="14"/>
            <w:noWrap w:val="0"/>
            <w:vAlign w:val="center"/>
          </w:tcPr>
          <w:p w14:paraId="67A5620A">
            <w:pPr>
              <w:snapToGrid w:val="0"/>
              <w:spacing w:line="276" w:lineRule="auto"/>
              <w:rPr>
                <w:sz w:val="18"/>
                <w:szCs w:val="18"/>
              </w:rPr>
            </w:pPr>
          </w:p>
        </w:tc>
      </w:tr>
      <w:tr w14:paraId="55E14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9" w:hRule="atLeast"/>
        </w:trPr>
        <w:tc>
          <w:tcPr>
            <w:tcW w:w="416" w:type="pct"/>
            <w:vMerge w:val="restart"/>
            <w:noWrap w:val="0"/>
            <w:vAlign w:val="center"/>
          </w:tcPr>
          <w:p w14:paraId="2E4841AD">
            <w:pPr>
              <w:snapToGrid w:val="0"/>
              <w:spacing w:line="276" w:lineRule="auto"/>
              <w:jc w:val="center"/>
              <w:rPr>
                <w:sz w:val="18"/>
                <w:szCs w:val="18"/>
              </w:rPr>
            </w:pPr>
            <w:r>
              <w:rPr>
                <w:sz w:val="18"/>
                <w:szCs w:val="18"/>
              </w:rPr>
              <w:t>产品信息</w:t>
            </w:r>
          </w:p>
        </w:tc>
        <w:tc>
          <w:tcPr>
            <w:tcW w:w="1170" w:type="pct"/>
            <w:gridSpan w:val="4"/>
            <w:noWrap w:val="0"/>
            <w:vAlign w:val="center"/>
          </w:tcPr>
          <w:p w14:paraId="04F9B9C0">
            <w:pPr>
              <w:snapToGrid w:val="0"/>
              <w:spacing w:line="276" w:lineRule="auto"/>
              <w:jc w:val="center"/>
              <w:rPr>
                <w:sz w:val="18"/>
                <w:szCs w:val="18"/>
              </w:rPr>
            </w:pPr>
            <w:r>
              <w:rPr>
                <w:sz w:val="18"/>
                <w:szCs w:val="18"/>
              </w:rPr>
              <w:t>产品种类/实际产量</w:t>
            </w:r>
          </w:p>
        </w:tc>
        <w:tc>
          <w:tcPr>
            <w:tcW w:w="3412" w:type="pct"/>
            <w:gridSpan w:val="14"/>
            <w:noWrap w:val="0"/>
            <w:vAlign w:val="center"/>
          </w:tcPr>
          <w:p w14:paraId="489AC6B3">
            <w:pPr>
              <w:snapToGrid w:val="0"/>
              <w:spacing w:line="276" w:lineRule="auto"/>
              <w:rPr>
                <w:sz w:val="18"/>
                <w:szCs w:val="18"/>
              </w:rPr>
            </w:pPr>
            <w:r>
              <w:rPr>
                <w:sz w:val="18"/>
                <w:szCs w:val="18"/>
              </w:rPr>
              <w:t>种类1：</w:t>
            </w:r>
            <w:r>
              <w:rPr>
                <w:sz w:val="18"/>
                <w:szCs w:val="18"/>
                <w:u w:val="single"/>
              </w:rPr>
              <w:t xml:space="preserve">               </w:t>
            </w:r>
            <w:r>
              <w:rPr>
                <w:sz w:val="18"/>
                <w:szCs w:val="18"/>
              </w:rPr>
              <w:t>：产量</w:t>
            </w:r>
            <w:r>
              <w:rPr>
                <w:sz w:val="18"/>
                <w:szCs w:val="18"/>
                <w:u w:val="single"/>
              </w:rPr>
              <w:t xml:space="preserve">              </w:t>
            </w:r>
            <w:r>
              <w:rPr>
                <w:sz w:val="18"/>
                <w:szCs w:val="18"/>
              </w:rPr>
              <w:t>吨。</w:t>
            </w:r>
          </w:p>
          <w:p w14:paraId="027892B2">
            <w:pPr>
              <w:snapToGrid w:val="0"/>
              <w:spacing w:line="276" w:lineRule="auto"/>
              <w:rPr>
                <w:sz w:val="18"/>
                <w:szCs w:val="18"/>
              </w:rPr>
            </w:pPr>
            <w:r>
              <w:rPr>
                <w:sz w:val="18"/>
                <w:szCs w:val="18"/>
              </w:rPr>
              <w:t>种类2：</w:t>
            </w:r>
            <w:r>
              <w:rPr>
                <w:sz w:val="18"/>
                <w:szCs w:val="18"/>
                <w:u w:val="single"/>
              </w:rPr>
              <w:t xml:space="preserve">               </w:t>
            </w:r>
            <w:r>
              <w:rPr>
                <w:sz w:val="18"/>
                <w:szCs w:val="18"/>
              </w:rPr>
              <w:t>：产量</w:t>
            </w:r>
            <w:r>
              <w:rPr>
                <w:sz w:val="18"/>
                <w:szCs w:val="18"/>
                <w:u w:val="single"/>
              </w:rPr>
              <w:t xml:space="preserve">              </w:t>
            </w:r>
            <w:r>
              <w:rPr>
                <w:sz w:val="18"/>
                <w:szCs w:val="18"/>
              </w:rPr>
              <w:t>吨。</w:t>
            </w:r>
          </w:p>
          <w:p w14:paraId="38DB5C44">
            <w:pPr>
              <w:snapToGrid w:val="0"/>
              <w:spacing w:line="276" w:lineRule="auto"/>
              <w:rPr>
                <w:sz w:val="18"/>
                <w:szCs w:val="18"/>
              </w:rPr>
            </w:pPr>
            <w:r>
              <w:rPr>
                <w:rFonts w:hint="eastAsia" w:ascii="宋体" w:hAnsi="宋体" w:eastAsia="宋体" w:cs="宋体"/>
                <w:spacing w:val="2"/>
                <w:position w:val="1"/>
                <w:sz w:val="18"/>
                <w:szCs w:val="18"/>
                <w:highlight w:val="none"/>
              </w:rPr>
              <w:t>...</w:t>
            </w:r>
          </w:p>
        </w:tc>
      </w:tr>
      <w:tr w14:paraId="63677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16" w:type="pct"/>
            <w:vMerge w:val="continue"/>
            <w:noWrap w:val="0"/>
            <w:vAlign w:val="center"/>
          </w:tcPr>
          <w:p w14:paraId="3E560D44">
            <w:pPr>
              <w:snapToGrid w:val="0"/>
              <w:spacing w:line="276" w:lineRule="auto"/>
              <w:jc w:val="center"/>
              <w:rPr>
                <w:sz w:val="18"/>
                <w:szCs w:val="18"/>
              </w:rPr>
            </w:pPr>
          </w:p>
        </w:tc>
        <w:tc>
          <w:tcPr>
            <w:tcW w:w="1170" w:type="pct"/>
            <w:gridSpan w:val="4"/>
            <w:noWrap w:val="0"/>
            <w:vAlign w:val="center"/>
          </w:tcPr>
          <w:p w14:paraId="433BDC8C">
            <w:pPr>
              <w:snapToGrid w:val="0"/>
              <w:spacing w:line="276" w:lineRule="auto"/>
              <w:jc w:val="center"/>
              <w:rPr>
                <w:sz w:val="18"/>
                <w:szCs w:val="18"/>
              </w:rPr>
            </w:pPr>
            <w:r>
              <w:rPr>
                <w:sz w:val="18"/>
                <w:szCs w:val="18"/>
              </w:rPr>
              <w:t>执行产品标准</w:t>
            </w:r>
          </w:p>
        </w:tc>
        <w:tc>
          <w:tcPr>
            <w:tcW w:w="3412" w:type="pct"/>
            <w:gridSpan w:val="14"/>
            <w:noWrap w:val="0"/>
            <w:vAlign w:val="center"/>
          </w:tcPr>
          <w:p w14:paraId="46C47D72">
            <w:pPr>
              <w:snapToGrid w:val="0"/>
              <w:spacing w:line="276" w:lineRule="auto"/>
              <w:rPr>
                <w:sz w:val="18"/>
                <w:szCs w:val="18"/>
              </w:rPr>
            </w:pPr>
          </w:p>
        </w:tc>
      </w:tr>
      <w:tr w14:paraId="64398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000" w:type="pct"/>
            <w:gridSpan w:val="19"/>
            <w:shd w:val="clear" w:color="auto" w:fill="BEBEBE"/>
            <w:noWrap w:val="0"/>
            <w:vAlign w:val="center"/>
          </w:tcPr>
          <w:p w14:paraId="5B0EFF82">
            <w:pPr>
              <w:snapToGrid w:val="0"/>
              <w:spacing w:line="276" w:lineRule="auto"/>
              <w:rPr>
                <w:b/>
                <w:bCs/>
                <w:sz w:val="18"/>
                <w:szCs w:val="18"/>
              </w:rPr>
            </w:pPr>
            <w:r>
              <w:rPr>
                <w:b/>
                <w:bCs/>
                <w:sz w:val="18"/>
                <w:szCs w:val="18"/>
              </w:rPr>
              <w:t>原料获取阶段（A），产品生产阶段（B）</w:t>
            </w:r>
          </w:p>
        </w:tc>
      </w:tr>
      <w:tr w14:paraId="0D234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16" w:type="pct"/>
            <w:vMerge w:val="restart"/>
            <w:noWrap w:val="0"/>
            <w:vAlign w:val="center"/>
          </w:tcPr>
          <w:p w14:paraId="48C907BA">
            <w:pPr>
              <w:snapToGrid w:val="0"/>
              <w:spacing w:line="276" w:lineRule="auto"/>
              <w:jc w:val="center"/>
              <w:rPr>
                <w:sz w:val="18"/>
                <w:szCs w:val="18"/>
              </w:rPr>
            </w:pPr>
            <w:r>
              <w:rPr>
                <w:sz w:val="18"/>
                <w:szCs w:val="18"/>
              </w:rPr>
              <w:t>资源消耗及综合利用</w:t>
            </w:r>
          </w:p>
        </w:tc>
        <w:tc>
          <w:tcPr>
            <w:tcW w:w="1170" w:type="pct"/>
            <w:gridSpan w:val="4"/>
            <w:noWrap w:val="0"/>
            <w:vAlign w:val="center"/>
          </w:tcPr>
          <w:p w14:paraId="38AFE28D">
            <w:pPr>
              <w:snapToGrid w:val="0"/>
              <w:spacing w:line="276" w:lineRule="auto"/>
              <w:jc w:val="center"/>
              <w:rPr>
                <w:sz w:val="18"/>
                <w:szCs w:val="18"/>
              </w:rPr>
            </w:pPr>
            <w:r>
              <w:rPr>
                <w:sz w:val="18"/>
                <w:szCs w:val="18"/>
              </w:rPr>
              <w:t>种类</w:t>
            </w:r>
          </w:p>
        </w:tc>
        <w:tc>
          <w:tcPr>
            <w:tcW w:w="353" w:type="pct"/>
            <w:gridSpan w:val="2"/>
            <w:noWrap w:val="0"/>
            <w:vAlign w:val="center"/>
          </w:tcPr>
          <w:p w14:paraId="40D6CD1E">
            <w:pPr>
              <w:snapToGrid w:val="0"/>
              <w:spacing w:line="276" w:lineRule="auto"/>
              <w:jc w:val="center"/>
              <w:rPr>
                <w:sz w:val="18"/>
                <w:szCs w:val="18"/>
              </w:rPr>
            </w:pPr>
            <w:r>
              <w:rPr>
                <w:sz w:val="18"/>
                <w:szCs w:val="18"/>
              </w:rPr>
              <w:t>消耗量</w:t>
            </w:r>
          </w:p>
        </w:tc>
        <w:tc>
          <w:tcPr>
            <w:tcW w:w="528" w:type="pct"/>
            <w:gridSpan w:val="3"/>
            <w:noWrap w:val="0"/>
            <w:vAlign w:val="center"/>
          </w:tcPr>
          <w:p w14:paraId="2D2DE6D5">
            <w:pPr>
              <w:snapToGrid w:val="0"/>
              <w:spacing w:line="276" w:lineRule="auto"/>
              <w:jc w:val="center"/>
              <w:rPr>
                <w:sz w:val="18"/>
                <w:szCs w:val="18"/>
              </w:rPr>
            </w:pPr>
            <w:r>
              <w:rPr>
                <w:sz w:val="18"/>
                <w:szCs w:val="18"/>
              </w:rPr>
              <w:t>单位</w:t>
            </w:r>
          </w:p>
        </w:tc>
        <w:tc>
          <w:tcPr>
            <w:tcW w:w="496" w:type="pct"/>
            <w:gridSpan w:val="3"/>
            <w:noWrap w:val="0"/>
            <w:vAlign w:val="center"/>
          </w:tcPr>
          <w:p w14:paraId="35AA51E5">
            <w:pPr>
              <w:snapToGrid w:val="0"/>
              <w:spacing w:line="276" w:lineRule="auto"/>
              <w:jc w:val="center"/>
              <w:rPr>
                <w:sz w:val="18"/>
                <w:szCs w:val="18"/>
              </w:rPr>
            </w:pPr>
            <w:r>
              <w:rPr>
                <w:sz w:val="18"/>
                <w:szCs w:val="18"/>
              </w:rPr>
              <w:t>产地</w:t>
            </w:r>
          </w:p>
        </w:tc>
        <w:tc>
          <w:tcPr>
            <w:tcW w:w="713" w:type="pct"/>
            <w:noWrap w:val="0"/>
            <w:vAlign w:val="center"/>
          </w:tcPr>
          <w:p w14:paraId="4178065D">
            <w:pPr>
              <w:snapToGrid w:val="0"/>
              <w:spacing w:line="276" w:lineRule="auto"/>
              <w:jc w:val="center"/>
              <w:rPr>
                <w:sz w:val="18"/>
                <w:szCs w:val="18"/>
              </w:rPr>
            </w:pPr>
            <w:r>
              <w:rPr>
                <w:sz w:val="18"/>
                <w:szCs w:val="18"/>
              </w:rPr>
              <w:t>取得方式</w:t>
            </w:r>
          </w:p>
          <w:p w14:paraId="1A5D3A38">
            <w:pPr>
              <w:snapToGrid w:val="0"/>
              <w:spacing w:line="276" w:lineRule="auto"/>
              <w:jc w:val="center"/>
              <w:rPr>
                <w:sz w:val="18"/>
                <w:szCs w:val="18"/>
              </w:rPr>
            </w:pPr>
            <w:r>
              <w:rPr>
                <w:sz w:val="18"/>
                <w:szCs w:val="18"/>
              </w:rPr>
              <w:t>填写自产或外购</w:t>
            </w:r>
          </w:p>
        </w:tc>
        <w:tc>
          <w:tcPr>
            <w:tcW w:w="590" w:type="pct"/>
            <w:gridSpan w:val="3"/>
            <w:noWrap w:val="0"/>
            <w:vAlign w:val="center"/>
          </w:tcPr>
          <w:p w14:paraId="3B5283CC">
            <w:pPr>
              <w:snapToGrid w:val="0"/>
              <w:spacing w:line="276" w:lineRule="auto"/>
              <w:jc w:val="center"/>
              <w:rPr>
                <w:sz w:val="18"/>
                <w:szCs w:val="18"/>
              </w:rPr>
            </w:pPr>
            <w:r>
              <w:rPr>
                <w:sz w:val="18"/>
                <w:szCs w:val="18"/>
              </w:rPr>
              <w:t>运输方式</w:t>
            </w:r>
          </w:p>
          <w:p w14:paraId="2784FC7E">
            <w:pPr>
              <w:snapToGrid w:val="0"/>
              <w:spacing w:line="276" w:lineRule="auto"/>
              <w:jc w:val="center"/>
              <w:rPr>
                <w:sz w:val="18"/>
                <w:szCs w:val="18"/>
              </w:rPr>
            </w:pPr>
            <w:r>
              <w:rPr>
                <w:sz w:val="18"/>
                <w:szCs w:val="18"/>
              </w:rPr>
              <w:t>汽运、火车或船运</w:t>
            </w:r>
          </w:p>
        </w:tc>
        <w:tc>
          <w:tcPr>
            <w:tcW w:w="730" w:type="pct"/>
            <w:gridSpan w:val="2"/>
            <w:noWrap w:val="0"/>
            <w:vAlign w:val="center"/>
          </w:tcPr>
          <w:p w14:paraId="07FA99F8">
            <w:pPr>
              <w:snapToGrid w:val="0"/>
              <w:spacing w:line="276" w:lineRule="auto"/>
              <w:jc w:val="center"/>
              <w:rPr>
                <w:sz w:val="18"/>
                <w:szCs w:val="18"/>
              </w:rPr>
            </w:pPr>
            <w:r>
              <w:rPr>
                <w:sz w:val="18"/>
                <w:szCs w:val="18"/>
              </w:rPr>
              <w:t>加权运输距离/km</w:t>
            </w:r>
          </w:p>
        </w:tc>
      </w:tr>
      <w:tr w14:paraId="667DB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16" w:type="pct"/>
            <w:vMerge w:val="continue"/>
            <w:noWrap w:val="0"/>
            <w:vAlign w:val="center"/>
          </w:tcPr>
          <w:p w14:paraId="5210C3EC">
            <w:pPr>
              <w:snapToGrid w:val="0"/>
              <w:spacing w:line="276" w:lineRule="auto"/>
              <w:jc w:val="center"/>
              <w:rPr>
                <w:sz w:val="18"/>
                <w:szCs w:val="18"/>
              </w:rPr>
            </w:pPr>
          </w:p>
        </w:tc>
        <w:tc>
          <w:tcPr>
            <w:tcW w:w="1170" w:type="pct"/>
            <w:gridSpan w:val="4"/>
            <w:noWrap w:val="0"/>
            <w:vAlign w:val="center"/>
          </w:tcPr>
          <w:p w14:paraId="04778356">
            <w:pPr>
              <w:snapToGrid w:val="0"/>
              <w:spacing w:line="276" w:lineRule="auto"/>
              <w:jc w:val="center"/>
              <w:rPr>
                <w:rFonts w:hint="default" w:eastAsia="宋体"/>
                <w:sz w:val="18"/>
                <w:szCs w:val="18"/>
                <w:lang w:val="en-US" w:eastAsia="zh-CN"/>
              </w:rPr>
            </w:pPr>
            <w:r>
              <w:rPr>
                <w:rFonts w:hint="eastAsia"/>
                <w:sz w:val="18"/>
                <w:szCs w:val="18"/>
                <w:lang w:val="en-US" w:eastAsia="zh-CN"/>
              </w:rPr>
              <w:t>成膜物质（乳液）</w:t>
            </w:r>
          </w:p>
        </w:tc>
        <w:tc>
          <w:tcPr>
            <w:tcW w:w="353" w:type="pct"/>
            <w:gridSpan w:val="2"/>
            <w:noWrap w:val="0"/>
            <w:vAlign w:val="center"/>
          </w:tcPr>
          <w:p w14:paraId="4A6A699D">
            <w:pPr>
              <w:snapToGrid w:val="0"/>
              <w:spacing w:line="276" w:lineRule="auto"/>
              <w:jc w:val="center"/>
              <w:rPr>
                <w:sz w:val="18"/>
                <w:szCs w:val="18"/>
              </w:rPr>
            </w:pPr>
          </w:p>
        </w:tc>
        <w:tc>
          <w:tcPr>
            <w:tcW w:w="528" w:type="pct"/>
            <w:gridSpan w:val="3"/>
            <w:noWrap w:val="0"/>
            <w:vAlign w:val="center"/>
          </w:tcPr>
          <w:p w14:paraId="0F9B0221">
            <w:pPr>
              <w:snapToGrid w:val="0"/>
              <w:spacing w:line="276" w:lineRule="auto"/>
              <w:jc w:val="center"/>
              <w:rPr>
                <w:sz w:val="18"/>
                <w:szCs w:val="18"/>
              </w:rPr>
            </w:pPr>
            <w:r>
              <w:rPr>
                <w:sz w:val="18"/>
                <w:szCs w:val="18"/>
              </w:rPr>
              <w:t>t</w:t>
            </w:r>
          </w:p>
        </w:tc>
        <w:tc>
          <w:tcPr>
            <w:tcW w:w="496" w:type="pct"/>
            <w:gridSpan w:val="3"/>
            <w:noWrap w:val="0"/>
            <w:vAlign w:val="center"/>
          </w:tcPr>
          <w:p w14:paraId="6C9CF6C8">
            <w:pPr>
              <w:snapToGrid w:val="0"/>
              <w:spacing w:line="276" w:lineRule="auto"/>
              <w:jc w:val="center"/>
              <w:rPr>
                <w:sz w:val="18"/>
                <w:szCs w:val="18"/>
              </w:rPr>
            </w:pPr>
          </w:p>
        </w:tc>
        <w:tc>
          <w:tcPr>
            <w:tcW w:w="713" w:type="pct"/>
            <w:noWrap w:val="0"/>
            <w:vAlign w:val="center"/>
          </w:tcPr>
          <w:p w14:paraId="12ED0F03">
            <w:pPr>
              <w:snapToGrid w:val="0"/>
              <w:spacing w:line="276" w:lineRule="auto"/>
              <w:jc w:val="center"/>
              <w:rPr>
                <w:sz w:val="18"/>
                <w:szCs w:val="18"/>
              </w:rPr>
            </w:pPr>
          </w:p>
        </w:tc>
        <w:tc>
          <w:tcPr>
            <w:tcW w:w="590" w:type="pct"/>
            <w:gridSpan w:val="3"/>
            <w:noWrap w:val="0"/>
            <w:vAlign w:val="center"/>
          </w:tcPr>
          <w:p w14:paraId="549FDEA9">
            <w:pPr>
              <w:snapToGrid w:val="0"/>
              <w:spacing w:line="276" w:lineRule="auto"/>
              <w:jc w:val="center"/>
              <w:rPr>
                <w:sz w:val="18"/>
                <w:szCs w:val="18"/>
              </w:rPr>
            </w:pPr>
          </w:p>
        </w:tc>
        <w:tc>
          <w:tcPr>
            <w:tcW w:w="730" w:type="pct"/>
            <w:gridSpan w:val="2"/>
            <w:noWrap w:val="0"/>
            <w:vAlign w:val="center"/>
          </w:tcPr>
          <w:p w14:paraId="3B0EAB76">
            <w:pPr>
              <w:snapToGrid w:val="0"/>
              <w:spacing w:line="276" w:lineRule="auto"/>
              <w:jc w:val="center"/>
              <w:rPr>
                <w:sz w:val="18"/>
                <w:szCs w:val="18"/>
              </w:rPr>
            </w:pPr>
          </w:p>
        </w:tc>
      </w:tr>
      <w:tr w14:paraId="03C0A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16" w:type="pct"/>
            <w:vMerge w:val="continue"/>
            <w:noWrap w:val="0"/>
            <w:vAlign w:val="center"/>
          </w:tcPr>
          <w:p w14:paraId="16DEA3D6">
            <w:pPr>
              <w:snapToGrid w:val="0"/>
              <w:spacing w:line="276" w:lineRule="auto"/>
              <w:jc w:val="center"/>
              <w:rPr>
                <w:sz w:val="18"/>
                <w:szCs w:val="18"/>
              </w:rPr>
            </w:pPr>
          </w:p>
        </w:tc>
        <w:tc>
          <w:tcPr>
            <w:tcW w:w="1170" w:type="pct"/>
            <w:gridSpan w:val="4"/>
            <w:noWrap w:val="0"/>
            <w:vAlign w:val="center"/>
          </w:tcPr>
          <w:p w14:paraId="69117815">
            <w:pPr>
              <w:snapToGrid w:val="0"/>
              <w:spacing w:line="276" w:lineRule="auto"/>
              <w:jc w:val="center"/>
              <w:rPr>
                <w:rFonts w:hint="eastAsia" w:eastAsia="宋体"/>
                <w:sz w:val="18"/>
                <w:szCs w:val="18"/>
                <w:lang w:eastAsia="zh-CN"/>
              </w:rPr>
            </w:pPr>
            <w:r>
              <w:rPr>
                <w:rFonts w:hint="eastAsia"/>
                <w:sz w:val="18"/>
                <w:szCs w:val="18"/>
                <w:lang w:val="en-US" w:eastAsia="zh-CN"/>
              </w:rPr>
              <w:t>钛白粉（白色颜料）</w:t>
            </w:r>
          </w:p>
        </w:tc>
        <w:tc>
          <w:tcPr>
            <w:tcW w:w="353" w:type="pct"/>
            <w:gridSpan w:val="2"/>
            <w:noWrap w:val="0"/>
            <w:vAlign w:val="center"/>
          </w:tcPr>
          <w:p w14:paraId="16888C0B">
            <w:pPr>
              <w:snapToGrid w:val="0"/>
              <w:spacing w:line="276" w:lineRule="auto"/>
              <w:jc w:val="center"/>
              <w:rPr>
                <w:sz w:val="18"/>
                <w:szCs w:val="18"/>
              </w:rPr>
            </w:pPr>
          </w:p>
        </w:tc>
        <w:tc>
          <w:tcPr>
            <w:tcW w:w="528" w:type="pct"/>
            <w:gridSpan w:val="3"/>
            <w:noWrap w:val="0"/>
            <w:vAlign w:val="center"/>
          </w:tcPr>
          <w:p w14:paraId="2F9CF706">
            <w:pPr>
              <w:snapToGrid w:val="0"/>
              <w:spacing w:line="276" w:lineRule="auto"/>
              <w:jc w:val="center"/>
              <w:rPr>
                <w:sz w:val="18"/>
                <w:szCs w:val="18"/>
              </w:rPr>
            </w:pPr>
            <w:r>
              <w:rPr>
                <w:sz w:val="18"/>
                <w:szCs w:val="18"/>
              </w:rPr>
              <w:t>t</w:t>
            </w:r>
          </w:p>
        </w:tc>
        <w:tc>
          <w:tcPr>
            <w:tcW w:w="496" w:type="pct"/>
            <w:gridSpan w:val="3"/>
            <w:noWrap w:val="0"/>
            <w:vAlign w:val="center"/>
          </w:tcPr>
          <w:p w14:paraId="23B24755">
            <w:pPr>
              <w:snapToGrid w:val="0"/>
              <w:spacing w:line="276" w:lineRule="auto"/>
              <w:jc w:val="center"/>
              <w:rPr>
                <w:sz w:val="18"/>
                <w:szCs w:val="18"/>
              </w:rPr>
            </w:pPr>
          </w:p>
        </w:tc>
        <w:tc>
          <w:tcPr>
            <w:tcW w:w="713" w:type="pct"/>
            <w:noWrap w:val="0"/>
            <w:vAlign w:val="center"/>
          </w:tcPr>
          <w:p w14:paraId="107F45BF">
            <w:pPr>
              <w:snapToGrid w:val="0"/>
              <w:spacing w:line="276" w:lineRule="auto"/>
              <w:jc w:val="center"/>
              <w:rPr>
                <w:sz w:val="18"/>
                <w:szCs w:val="18"/>
              </w:rPr>
            </w:pPr>
          </w:p>
        </w:tc>
        <w:tc>
          <w:tcPr>
            <w:tcW w:w="590" w:type="pct"/>
            <w:gridSpan w:val="3"/>
            <w:noWrap w:val="0"/>
            <w:vAlign w:val="center"/>
          </w:tcPr>
          <w:p w14:paraId="0C34A19E">
            <w:pPr>
              <w:snapToGrid w:val="0"/>
              <w:spacing w:line="276" w:lineRule="auto"/>
              <w:jc w:val="center"/>
              <w:rPr>
                <w:sz w:val="18"/>
                <w:szCs w:val="18"/>
              </w:rPr>
            </w:pPr>
          </w:p>
        </w:tc>
        <w:tc>
          <w:tcPr>
            <w:tcW w:w="730" w:type="pct"/>
            <w:gridSpan w:val="2"/>
            <w:noWrap w:val="0"/>
            <w:vAlign w:val="center"/>
          </w:tcPr>
          <w:p w14:paraId="4A90DEB5">
            <w:pPr>
              <w:snapToGrid w:val="0"/>
              <w:spacing w:line="276" w:lineRule="auto"/>
              <w:jc w:val="center"/>
              <w:rPr>
                <w:sz w:val="18"/>
                <w:szCs w:val="18"/>
              </w:rPr>
            </w:pPr>
          </w:p>
        </w:tc>
      </w:tr>
      <w:tr w14:paraId="18FB8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16" w:type="pct"/>
            <w:vMerge w:val="continue"/>
            <w:noWrap w:val="0"/>
            <w:vAlign w:val="center"/>
          </w:tcPr>
          <w:p w14:paraId="475DF5CC">
            <w:pPr>
              <w:snapToGrid w:val="0"/>
              <w:spacing w:line="276" w:lineRule="auto"/>
              <w:jc w:val="center"/>
              <w:rPr>
                <w:sz w:val="18"/>
                <w:szCs w:val="18"/>
              </w:rPr>
            </w:pPr>
          </w:p>
        </w:tc>
        <w:tc>
          <w:tcPr>
            <w:tcW w:w="1170" w:type="pct"/>
            <w:gridSpan w:val="4"/>
            <w:noWrap w:val="0"/>
            <w:vAlign w:val="center"/>
          </w:tcPr>
          <w:p w14:paraId="33226455">
            <w:pPr>
              <w:snapToGrid w:val="0"/>
              <w:spacing w:line="276" w:lineRule="auto"/>
              <w:jc w:val="center"/>
              <w:rPr>
                <w:rFonts w:hint="eastAsia" w:eastAsia="宋体"/>
                <w:sz w:val="18"/>
                <w:szCs w:val="18"/>
                <w:lang w:eastAsia="zh-CN"/>
              </w:rPr>
            </w:pPr>
            <w:r>
              <w:rPr>
                <w:rFonts w:hint="eastAsia"/>
                <w:sz w:val="18"/>
                <w:szCs w:val="18"/>
                <w:lang w:val="en-US" w:eastAsia="zh-CN"/>
              </w:rPr>
              <w:t>碳酸钙</w:t>
            </w:r>
          </w:p>
        </w:tc>
        <w:tc>
          <w:tcPr>
            <w:tcW w:w="353" w:type="pct"/>
            <w:gridSpan w:val="2"/>
            <w:noWrap w:val="0"/>
            <w:vAlign w:val="center"/>
          </w:tcPr>
          <w:p w14:paraId="752D32A1">
            <w:pPr>
              <w:snapToGrid w:val="0"/>
              <w:spacing w:line="276" w:lineRule="auto"/>
              <w:jc w:val="center"/>
              <w:rPr>
                <w:sz w:val="18"/>
                <w:szCs w:val="18"/>
              </w:rPr>
            </w:pPr>
          </w:p>
        </w:tc>
        <w:tc>
          <w:tcPr>
            <w:tcW w:w="528" w:type="pct"/>
            <w:gridSpan w:val="3"/>
            <w:noWrap w:val="0"/>
            <w:vAlign w:val="center"/>
          </w:tcPr>
          <w:p w14:paraId="20CBF260">
            <w:pPr>
              <w:snapToGrid w:val="0"/>
              <w:spacing w:line="276" w:lineRule="auto"/>
              <w:jc w:val="center"/>
              <w:rPr>
                <w:sz w:val="18"/>
                <w:szCs w:val="18"/>
              </w:rPr>
            </w:pPr>
            <w:r>
              <w:rPr>
                <w:sz w:val="18"/>
                <w:szCs w:val="18"/>
              </w:rPr>
              <w:t>t</w:t>
            </w:r>
          </w:p>
        </w:tc>
        <w:tc>
          <w:tcPr>
            <w:tcW w:w="496" w:type="pct"/>
            <w:gridSpan w:val="3"/>
            <w:noWrap w:val="0"/>
            <w:vAlign w:val="center"/>
          </w:tcPr>
          <w:p w14:paraId="0B452609">
            <w:pPr>
              <w:snapToGrid w:val="0"/>
              <w:spacing w:line="276" w:lineRule="auto"/>
              <w:jc w:val="center"/>
              <w:rPr>
                <w:sz w:val="18"/>
                <w:szCs w:val="18"/>
              </w:rPr>
            </w:pPr>
          </w:p>
        </w:tc>
        <w:tc>
          <w:tcPr>
            <w:tcW w:w="713" w:type="pct"/>
            <w:noWrap w:val="0"/>
            <w:vAlign w:val="center"/>
          </w:tcPr>
          <w:p w14:paraId="12C344BA">
            <w:pPr>
              <w:snapToGrid w:val="0"/>
              <w:spacing w:line="276" w:lineRule="auto"/>
              <w:jc w:val="center"/>
              <w:rPr>
                <w:sz w:val="18"/>
                <w:szCs w:val="18"/>
              </w:rPr>
            </w:pPr>
          </w:p>
        </w:tc>
        <w:tc>
          <w:tcPr>
            <w:tcW w:w="590" w:type="pct"/>
            <w:gridSpan w:val="3"/>
            <w:noWrap w:val="0"/>
            <w:vAlign w:val="center"/>
          </w:tcPr>
          <w:p w14:paraId="6EE9CFFF">
            <w:pPr>
              <w:snapToGrid w:val="0"/>
              <w:spacing w:line="276" w:lineRule="auto"/>
              <w:jc w:val="center"/>
              <w:rPr>
                <w:sz w:val="18"/>
                <w:szCs w:val="18"/>
              </w:rPr>
            </w:pPr>
          </w:p>
        </w:tc>
        <w:tc>
          <w:tcPr>
            <w:tcW w:w="730" w:type="pct"/>
            <w:gridSpan w:val="2"/>
            <w:noWrap w:val="0"/>
            <w:vAlign w:val="center"/>
          </w:tcPr>
          <w:p w14:paraId="0725A6B1">
            <w:pPr>
              <w:snapToGrid w:val="0"/>
              <w:spacing w:line="276" w:lineRule="auto"/>
              <w:jc w:val="center"/>
              <w:rPr>
                <w:sz w:val="18"/>
                <w:szCs w:val="18"/>
              </w:rPr>
            </w:pPr>
          </w:p>
        </w:tc>
      </w:tr>
      <w:tr w14:paraId="0F3C9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16" w:type="pct"/>
            <w:vMerge w:val="continue"/>
            <w:noWrap w:val="0"/>
            <w:vAlign w:val="center"/>
          </w:tcPr>
          <w:p w14:paraId="3ECD27BD">
            <w:pPr>
              <w:snapToGrid w:val="0"/>
              <w:spacing w:line="276" w:lineRule="auto"/>
              <w:jc w:val="center"/>
              <w:rPr>
                <w:sz w:val="18"/>
                <w:szCs w:val="18"/>
              </w:rPr>
            </w:pPr>
          </w:p>
        </w:tc>
        <w:tc>
          <w:tcPr>
            <w:tcW w:w="1170" w:type="pct"/>
            <w:gridSpan w:val="4"/>
            <w:noWrap w:val="0"/>
            <w:vAlign w:val="center"/>
          </w:tcPr>
          <w:p w14:paraId="1BF78321">
            <w:pPr>
              <w:snapToGrid w:val="0"/>
              <w:spacing w:line="276" w:lineRule="auto"/>
              <w:jc w:val="center"/>
              <w:rPr>
                <w:rFonts w:hint="default"/>
                <w:sz w:val="18"/>
                <w:szCs w:val="18"/>
                <w:lang w:val="en-US" w:eastAsia="zh-CN"/>
              </w:rPr>
            </w:pPr>
            <w:r>
              <w:rPr>
                <w:rFonts w:hint="eastAsia"/>
                <w:sz w:val="18"/>
                <w:szCs w:val="18"/>
                <w:lang w:val="en-US" w:eastAsia="zh-CN"/>
              </w:rPr>
              <w:t>滑石粉</w:t>
            </w:r>
          </w:p>
        </w:tc>
        <w:tc>
          <w:tcPr>
            <w:tcW w:w="353" w:type="pct"/>
            <w:gridSpan w:val="2"/>
            <w:noWrap w:val="0"/>
            <w:vAlign w:val="center"/>
          </w:tcPr>
          <w:p w14:paraId="003C21E2">
            <w:pPr>
              <w:snapToGrid w:val="0"/>
              <w:spacing w:line="276" w:lineRule="auto"/>
              <w:jc w:val="center"/>
              <w:rPr>
                <w:sz w:val="18"/>
                <w:szCs w:val="18"/>
              </w:rPr>
            </w:pPr>
          </w:p>
        </w:tc>
        <w:tc>
          <w:tcPr>
            <w:tcW w:w="1053" w:type="dxa"/>
            <w:gridSpan w:val="3"/>
            <w:noWrap w:val="0"/>
            <w:vAlign w:val="center"/>
          </w:tcPr>
          <w:p w14:paraId="73D3AE2A">
            <w:pPr>
              <w:snapToGrid w:val="0"/>
              <w:spacing w:line="276" w:lineRule="auto"/>
              <w:jc w:val="center"/>
              <w:rPr>
                <w:sz w:val="18"/>
                <w:szCs w:val="18"/>
              </w:rPr>
            </w:pPr>
            <w:r>
              <w:rPr>
                <w:sz w:val="18"/>
                <w:szCs w:val="18"/>
              </w:rPr>
              <w:t>t</w:t>
            </w:r>
          </w:p>
        </w:tc>
        <w:tc>
          <w:tcPr>
            <w:tcW w:w="496" w:type="pct"/>
            <w:gridSpan w:val="3"/>
            <w:noWrap w:val="0"/>
            <w:vAlign w:val="center"/>
          </w:tcPr>
          <w:p w14:paraId="5548F8E7">
            <w:pPr>
              <w:snapToGrid w:val="0"/>
              <w:spacing w:line="276" w:lineRule="auto"/>
              <w:jc w:val="center"/>
              <w:rPr>
                <w:sz w:val="18"/>
                <w:szCs w:val="18"/>
              </w:rPr>
            </w:pPr>
          </w:p>
        </w:tc>
        <w:tc>
          <w:tcPr>
            <w:tcW w:w="713" w:type="pct"/>
            <w:noWrap w:val="0"/>
            <w:vAlign w:val="center"/>
          </w:tcPr>
          <w:p w14:paraId="341FF38D">
            <w:pPr>
              <w:snapToGrid w:val="0"/>
              <w:spacing w:line="276" w:lineRule="auto"/>
              <w:jc w:val="center"/>
              <w:rPr>
                <w:sz w:val="18"/>
                <w:szCs w:val="18"/>
              </w:rPr>
            </w:pPr>
          </w:p>
        </w:tc>
        <w:tc>
          <w:tcPr>
            <w:tcW w:w="590" w:type="pct"/>
            <w:gridSpan w:val="3"/>
            <w:noWrap w:val="0"/>
            <w:vAlign w:val="center"/>
          </w:tcPr>
          <w:p w14:paraId="1348A114">
            <w:pPr>
              <w:snapToGrid w:val="0"/>
              <w:spacing w:line="276" w:lineRule="auto"/>
              <w:jc w:val="center"/>
              <w:rPr>
                <w:sz w:val="18"/>
                <w:szCs w:val="18"/>
              </w:rPr>
            </w:pPr>
          </w:p>
        </w:tc>
        <w:tc>
          <w:tcPr>
            <w:tcW w:w="730" w:type="pct"/>
            <w:gridSpan w:val="2"/>
            <w:noWrap w:val="0"/>
            <w:vAlign w:val="center"/>
          </w:tcPr>
          <w:p w14:paraId="2BD1A17C">
            <w:pPr>
              <w:snapToGrid w:val="0"/>
              <w:spacing w:line="276" w:lineRule="auto"/>
              <w:jc w:val="center"/>
              <w:rPr>
                <w:sz w:val="18"/>
                <w:szCs w:val="18"/>
              </w:rPr>
            </w:pPr>
          </w:p>
        </w:tc>
      </w:tr>
      <w:tr w14:paraId="5AA4A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16" w:type="pct"/>
            <w:vMerge w:val="continue"/>
            <w:noWrap w:val="0"/>
            <w:vAlign w:val="center"/>
          </w:tcPr>
          <w:p w14:paraId="118A10D5">
            <w:pPr>
              <w:snapToGrid w:val="0"/>
              <w:spacing w:line="276" w:lineRule="auto"/>
              <w:jc w:val="center"/>
              <w:rPr>
                <w:sz w:val="18"/>
                <w:szCs w:val="18"/>
              </w:rPr>
            </w:pPr>
          </w:p>
        </w:tc>
        <w:tc>
          <w:tcPr>
            <w:tcW w:w="1170" w:type="pct"/>
            <w:gridSpan w:val="4"/>
            <w:noWrap w:val="0"/>
            <w:vAlign w:val="center"/>
          </w:tcPr>
          <w:p w14:paraId="4AAFD930">
            <w:pPr>
              <w:snapToGrid w:val="0"/>
              <w:spacing w:line="276" w:lineRule="auto"/>
              <w:jc w:val="center"/>
              <w:rPr>
                <w:rFonts w:hint="default"/>
                <w:sz w:val="18"/>
                <w:szCs w:val="18"/>
                <w:lang w:val="en-US" w:eastAsia="zh-CN"/>
              </w:rPr>
            </w:pPr>
            <w:r>
              <w:rPr>
                <w:rFonts w:hint="eastAsia"/>
                <w:sz w:val="18"/>
                <w:szCs w:val="18"/>
                <w:lang w:val="en-US" w:eastAsia="zh-CN"/>
              </w:rPr>
              <w:t>高岭土（体质颜料）</w:t>
            </w:r>
          </w:p>
        </w:tc>
        <w:tc>
          <w:tcPr>
            <w:tcW w:w="353" w:type="pct"/>
            <w:gridSpan w:val="2"/>
            <w:noWrap w:val="0"/>
            <w:vAlign w:val="center"/>
          </w:tcPr>
          <w:p w14:paraId="07731EC8">
            <w:pPr>
              <w:snapToGrid w:val="0"/>
              <w:spacing w:line="276" w:lineRule="auto"/>
              <w:jc w:val="center"/>
              <w:rPr>
                <w:sz w:val="18"/>
                <w:szCs w:val="18"/>
              </w:rPr>
            </w:pPr>
          </w:p>
        </w:tc>
        <w:tc>
          <w:tcPr>
            <w:tcW w:w="1053" w:type="dxa"/>
            <w:gridSpan w:val="3"/>
            <w:noWrap w:val="0"/>
            <w:vAlign w:val="center"/>
          </w:tcPr>
          <w:p w14:paraId="4D77671B">
            <w:pPr>
              <w:snapToGrid w:val="0"/>
              <w:spacing w:line="276" w:lineRule="auto"/>
              <w:jc w:val="center"/>
              <w:rPr>
                <w:sz w:val="18"/>
                <w:szCs w:val="18"/>
              </w:rPr>
            </w:pPr>
            <w:r>
              <w:rPr>
                <w:sz w:val="18"/>
                <w:szCs w:val="18"/>
              </w:rPr>
              <w:t>t</w:t>
            </w:r>
          </w:p>
        </w:tc>
        <w:tc>
          <w:tcPr>
            <w:tcW w:w="496" w:type="pct"/>
            <w:gridSpan w:val="3"/>
            <w:noWrap w:val="0"/>
            <w:vAlign w:val="center"/>
          </w:tcPr>
          <w:p w14:paraId="5E942E5D">
            <w:pPr>
              <w:snapToGrid w:val="0"/>
              <w:spacing w:line="276" w:lineRule="auto"/>
              <w:jc w:val="center"/>
              <w:rPr>
                <w:sz w:val="18"/>
                <w:szCs w:val="18"/>
              </w:rPr>
            </w:pPr>
          </w:p>
        </w:tc>
        <w:tc>
          <w:tcPr>
            <w:tcW w:w="713" w:type="pct"/>
            <w:noWrap w:val="0"/>
            <w:vAlign w:val="center"/>
          </w:tcPr>
          <w:p w14:paraId="75C20C82">
            <w:pPr>
              <w:snapToGrid w:val="0"/>
              <w:spacing w:line="276" w:lineRule="auto"/>
              <w:jc w:val="center"/>
              <w:rPr>
                <w:sz w:val="18"/>
                <w:szCs w:val="18"/>
              </w:rPr>
            </w:pPr>
          </w:p>
        </w:tc>
        <w:tc>
          <w:tcPr>
            <w:tcW w:w="590" w:type="pct"/>
            <w:gridSpan w:val="3"/>
            <w:noWrap w:val="0"/>
            <w:vAlign w:val="center"/>
          </w:tcPr>
          <w:p w14:paraId="4BFF887C">
            <w:pPr>
              <w:snapToGrid w:val="0"/>
              <w:spacing w:line="276" w:lineRule="auto"/>
              <w:jc w:val="center"/>
              <w:rPr>
                <w:sz w:val="18"/>
                <w:szCs w:val="18"/>
              </w:rPr>
            </w:pPr>
          </w:p>
        </w:tc>
        <w:tc>
          <w:tcPr>
            <w:tcW w:w="730" w:type="pct"/>
            <w:gridSpan w:val="2"/>
            <w:noWrap w:val="0"/>
            <w:vAlign w:val="center"/>
          </w:tcPr>
          <w:p w14:paraId="526ABF71">
            <w:pPr>
              <w:snapToGrid w:val="0"/>
              <w:spacing w:line="276" w:lineRule="auto"/>
              <w:jc w:val="center"/>
              <w:rPr>
                <w:sz w:val="18"/>
                <w:szCs w:val="18"/>
              </w:rPr>
            </w:pPr>
          </w:p>
        </w:tc>
      </w:tr>
      <w:tr w14:paraId="53FF5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16" w:type="pct"/>
            <w:vMerge w:val="continue"/>
            <w:noWrap w:val="0"/>
            <w:vAlign w:val="center"/>
          </w:tcPr>
          <w:p w14:paraId="20D5AEB0">
            <w:pPr>
              <w:snapToGrid w:val="0"/>
              <w:spacing w:line="276" w:lineRule="auto"/>
              <w:jc w:val="center"/>
              <w:rPr>
                <w:sz w:val="18"/>
                <w:szCs w:val="18"/>
              </w:rPr>
            </w:pPr>
          </w:p>
        </w:tc>
        <w:tc>
          <w:tcPr>
            <w:tcW w:w="1170" w:type="pct"/>
            <w:gridSpan w:val="4"/>
            <w:noWrap w:val="0"/>
            <w:vAlign w:val="center"/>
          </w:tcPr>
          <w:p w14:paraId="1250DED5">
            <w:pPr>
              <w:snapToGrid w:val="0"/>
              <w:spacing w:line="276" w:lineRule="auto"/>
              <w:jc w:val="center"/>
              <w:rPr>
                <w:rFonts w:hint="default"/>
                <w:sz w:val="18"/>
                <w:szCs w:val="18"/>
                <w:lang w:val="en-US" w:eastAsia="zh-CN"/>
              </w:rPr>
            </w:pPr>
            <w:r>
              <w:rPr>
                <w:rFonts w:hint="eastAsia"/>
                <w:sz w:val="18"/>
                <w:szCs w:val="18"/>
                <w:lang w:val="en-US" w:eastAsia="zh-CN"/>
              </w:rPr>
              <w:t>彩色颜料</w:t>
            </w:r>
          </w:p>
        </w:tc>
        <w:tc>
          <w:tcPr>
            <w:tcW w:w="353" w:type="pct"/>
            <w:gridSpan w:val="2"/>
            <w:noWrap w:val="0"/>
            <w:vAlign w:val="center"/>
          </w:tcPr>
          <w:p w14:paraId="2951B942">
            <w:pPr>
              <w:snapToGrid w:val="0"/>
              <w:spacing w:line="276" w:lineRule="auto"/>
              <w:jc w:val="center"/>
              <w:rPr>
                <w:sz w:val="18"/>
                <w:szCs w:val="18"/>
              </w:rPr>
            </w:pPr>
          </w:p>
        </w:tc>
        <w:tc>
          <w:tcPr>
            <w:tcW w:w="1053" w:type="dxa"/>
            <w:gridSpan w:val="3"/>
            <w:noWrap w:val="0"/>
            <w:vAlign w:val="center"/>
          </w:tcPr>
          <w:p w14:paraId="27701BB9">
            <w:pPr>
              <w:snapToGrid w:val="0"/>
              <w:spacing w:line="276" w:lineRule="auto"/>
              <w:jc w:val="center"/>
              <w:rPr>
                <w:sz w:val="18"/>
                <w:szCs w:val="18"/>
              </w:rPr>
            </w:pPr>
            <w:r>
              <w:rPr>
                <w:sz w:val="18"/>
                <w:szCs w:val="18"/>
              </w:rPr>
              <w:t>t</w:t>
            </w:r>
          </w:p>
        </w:tc>
        <w:tc>
          <w:tcPr>
            <w:tcW w:w="496" w:type="pct"/>
            <w:gridSpan w:val="3"/>
            <w:noWrap w:val="0"/>
            <w:vAlign w:val="center"/>
          </w:tcPr>
          <w:p w14:paraId="5AD26947">
            <w:pPr>
              <w:snapToGrid w:val="0"/>
              <w:spacing w:line="276" w:lineRule="auto"/>
              <w:jc w:val="center"/>
              <w:rPr>
                <w:sz w:val="18"/>
                <w:szCs w:val="18"/>
              </w:rPr>
            </w:pPr>
          </w:p>
        </w:tc>
        <w:tc>
          <w:tcPr>
            <w:tcW w:w="713" w:type="pct"/>
            <w:noWrap w:val="0"/>
            <w:vAlign w:val="center"/>
          </w:tcPr>
          <w:p w14:paraId="2CC6EEA0">
            <w:pPr>
              <w:snapToGrid w:val="0"/>
              <w:spacing w:line="276" w:lineRule="auto"/>
              <w:jc w:val="center"/>
              <w:rPr>
                <w:sz w:val="18"/>
                <w:szCs w:val="18"/>
              </w:rPr>
            </w:pPr>
          </w:p>
        </w:tc>
        <w:tc>
          <w:tcPr>
            <w:tcW w:w="590" w:type="pct"/>
            <w:gridSpan w:val="3"/>
            <w:noWrap w:val="0"/>
            <w:vAlign w:val="center"/>
          </w:tcPr>
          <w:p w14:paraId="4A8F9EE5">
            <w:pPr>
              <w:snapToGrid w:val="0"/>
              <w:spacing w:line="276" w:lineRule="auto"/>
              <w:jc w:val="center"/>
              <w:rPr>
                <w:sz w:val="18"/>
                <w:szCs w:val="18"/>
              </w:rPr>
            </w:pPr>
          </w:p>
        </w:tc>
        <w:tc>
          <w:tcPr>
            <w:tcW w:w="730" w:type="pct"/>
            <w:gridSpan w:val="2"/>
            <w:noWrap w:val="0"/>
            <w:vAlign w:val="center"/>
          </w:tcPr>
          <w:p w14:paraId="6203741A">
            <w:pPr>
              <w:snapToGrid w:val="0"/>
              <w:spacing w:line="276" w:lineRule="auto"/>
              <w:jc w:val="center"/>
              <w:rPr>
                <w:sz w:val="18"/>
                <w:szCs w:val="18"/>
              </w:rPr>
            </w:pPr>
          </w:p>
        </w:tc>
      </w:tr>
      <w:tr w14:paraId="4339D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16" w:type="pct"/>
            <w:vMerge w:val="continue"/>
            <w:noWrap w:val="0"/>
            <w:vAlign w:val="center"/>
          </w:tcPr>
          <w:p w14:paraId="4A24281B">
            <w:pPr>
              <w:snapToGrid w:val="0"/>
              <w:spacing w:line="276" w:lineRule="auto"/>
              <w:jc w:val="center"/>
              <w:rPr>
                <w:sz w:val="18"/>
                <w:szCs w:val="18"/>
              </w:rPr>
            </w:pPr>
          </w:p>
        </w:tc>
        <w:tc>
          <w:tcPr>
            <w:tcW w:w="1170" w:type="pct"/>
            <w:gridSpan w:val="4"/>
            <w:noWrap w:val="0"/>
            <w:vAlign w:val="center"/>
          </w:tcPr>
          <w:p w14:paraId="764F8C6F">
            <w:pPr>
              <w:snapToGrid w:val="0"/>
              <w:spacing w:line="276" w:lineRule="auto"/>
              <w:jc w:val="center"/>
              <w:rPr>
                <w:rFonts w:hint="default" w:eastAsia="宋体"/>
                <w:sz w:val="18"/>
                <w:szCs w:val="18"/>
                <w:lang w:val="en-US" w:eastAsia="zh-CN"/>
              </w:rPr>
            </w:pPr>
            <w:r>
              <w:rPr>
                <w:rFonts w:hint="eastAsia"/>
                <w:sz w:val="18"/>
                <w:szCs w:val="18"/>
                <w:lang w:val="en-US" w:eastAsia="zh-CN"/>
              </w:rPr>
              <w:t>质感骨料</w:t>
            </w:r>
          </w:p>
        </w:tc>
        <w:tc>
          <w:tcPr>
            <w:tcW w:w="353" w:type="pct"/>
            <w:gridSpan w:val="2"/>
            <w:noWrap w:val="0"/>
            <w:vAlign w:val="center"/>
          </w:tcPr>
          <w:p w14:paraId="7B32EC18">
            <w:pPr>
              <w:snapToGrid w:val="0"/>
              <w:spacing w:line="276" w:lineRule="auto"/>
              <w:jc w:val="center"/>
              <w:rPr>
                <w:sz w:val="18"/>
                <w:szCs w:val="18"/>
              </w:rPr>
            </w:pPr>
          </w:p>
        </w:tc>
        <w:tc>
          <w:tcPr>
            <w:tcW w:w="528" w:type="pct"/>
            <w:gridSpan w:val="3"/>
            <w:noWrap w:val="0"/>
            <w:vAlign w:val="center"/>
          </w:tcPr>
          <w:p w14:paraId="3DE0490D">
            <w:pPr>
              <w:snapToGrid w:val="0"/>
              <w:spacing w:line="276" w:lineRule="auto"/>
              <w:jc w:val="center"/>
              <w:rPr>
                <w:sz w:val="18"/>
                <w:szCs w:val="18"/>
              </w:rPr>
            </w:pPr>
            <w:r>
              <w:rPr>
                <w:sz w:val="18"/>
                <w:szCs w:val="18"/>
              </w:rPr>
              <w:t>t</w:t>
            </w:r>
          </w:p>
        </w:tc>
        <w:tc>
          <w:tcPr>
            <w:tcW w:w="496" w:type="pct"/>
            <w:gridSpan w:val="3"/>
            <w:noWrap w:val="0"/>
            <w:vAlign w:val="center"/>
          </w:tcPr>
          <w:p w14:paraId="6F532688">
            <w:pPr>
              <w:snapToGrid w:val="0"/>
              <w:spacing w:line="276" w:lineRule="auto"/>
              <w:jc w:val="center"/>
              <w:rPr>
                <w:sz w:val="18"/>
                <w:szCs w:val="18"/>
              </w:rPr>
            </w:pPr>
          </w:p>
        </w:tc>
        <w:tc>
          <w:tcPr>
            <w:tcW w:w="713" w:type="pct"/>
            <w:noWrap w:val="0"/>
            <w:vAlign w:val="center"/>
          </w:tcPr>
          <w:p w14:paraId="48D52A36">
            <w:pPr>
              <w:snapToGrid w:val="0"/>
              <w:spacing w:line="276" w:lineRule="auto"/>
              <w:jc w:val="center"/>
              <w:rPr>
                <w:sz w:val="18"/>
                <w:szCs w:val="18"/>
              </w:rPr>
            </w:pPr>
          </w:p>
        </w:tc>
        <w:tc>
          <w:tcPr>
            <w:tcW w:w="590" w:type="pct"/>
            <w:gridSpan w:val="3"/>
            <w:noWrap w:val="0"/>
            <w:vAlign w:val="center"/>
          </w:tcPr>
          <w:p w14:paraId="309E66DD">
            <w:pPr>
              <w:snapToGrid w:val="0"/>
              <w:spacing w:line="276" w:lineRule="auto"/>
              <w:jc w:val="center"/>
              <w:rPr>
                <w:sz w:val="18"/>
                <w:szCs w:val="18"/>
              </w:rPr>
            </w:pPr>
          </w:p>
        </w:tc>
        <w:tc>
          <w:tcPr>
            <w:tcW w:w="730" w:type="pct"/>
            <w:gridSpan w:val="2"/>
            <w:noWrap w:val="0"/>
            <w:vAlign w:val="center"/>
          </w:tcPr>
          <w:p w14:paraId="74E6B683">
            <w:pPr>
              <w:snapToGrid w:val="0"/>
              <w:spacing w:line="276" w:lineRule="auto"/>
              <w:jc w:val="center"/>
              <w:rPr>
                <w:sz w:val="18"/>
                <w:szCs w:val="18"/>
              </w:rPr>
            </w:pPr>
          </w:p>
        </w:tc>
      </w:tr>
      <w:tr w14:paraId="760F9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16" w:type="pct"/>
            <w:vMerge w:val="continue"/>
            <w:noWrap w:val="0"/>
            <w:vAlign w:val="center"/>
          </w:tcPr>
          <w:p w14:paraId="0FB9A77D">
            <w:pPr>
              <w:snapToGrid w:val="0"/>
              <w:spacing w:line="276" w:lineRule="auto"/>
              <w:jc w:val="center"/>
              <w:rPr>
                <w:sz w:val="18"/>
                <w:szCs w:val="18"/>
              </w:rPr>
            </w:pPr>
          </w:p>
        </w:tc>
        <w:tc>
          <w:tcPr>
            <w:tcW w:w="1170" w:type="pct"/>
            <w:gridSpan w:val="4"/>
            <w:noWrap w:val="0"/>
            <w:vAlign w:val="center"/>
          </w:tcPr>
          <w:p w14:paraId="212A5523">
            <w:pPr>
              <w:snapToGrid w:val="0"/>
              <w:spacing w:line="276" w:lineRule="auto"/>
              <w:jc w:val="center"/>
              <w:rPr>
                <w:rFonts w:hint="default" w:eastAsia="宋体"/>
                <w:sz w:val="18"/>
                <w:szCs w:val="18"/>
                <w:lang w:val="en-US" w:eastAsia="zh-CN"/>
              </w:rPr>
            </w:pPr>
            <w:r>
              <w:rPr>
                <w:rFonts w:hint="eastAsia"/>
                <w:sz w:val="18"/>
                <w:szCs w:val="18"/>
                <w:lang w:val="en-US" w:eastAsia="zh-CN"/>
              </w:rPr>
              <w:t>包装材料：</w:t>
            </w:r>
          </w:p>
        </w:tc>
        <w:tc>
          <w:tcPr>
            <w:tcW w:w="353" w:type="pct"/>
            <w:gridSpan w:val="2"/>
            <w:noWrap w:val="0"/>
            <w:vAlign w:val="center"/>
          </w:tcPr>
          <w:p w14:paraId="067F751D">
            <w:pPr>
              <w:snapToGrid w:val="0"/>
              <w:spacing w:line="276" w:lineRule="auto"/>
              <w:jc w:val="center"/>
              <w:rPr>
                <w:sz w:val="18"/>
                <w:szCs w:val="18"/>
              </w:rPr>
            </w:pPr>
          </w:p>
        </w:tc>
        <w:tc>
          <w:tcPr>
            <w:tcW w:w="528" w:type="pct"/>
            <w:gridSpan w:val="3"/>
            <w:noWrap w:val="0"/>
            <w:vAlign w:val="center"/>
          </w:tcPr>
          <w:p w14:paraId="13B58478">
            <w:pPr>
              <w:snapToGrid w:val="0"/>
              <w:spacing w:line="276" w:lineRule="auto"/>
              <w:jc w:val="center"/>
              <w:rPr>
                <w:rFonts w:hint="eastAsia" w:eastAsia="宋体"/>
                <w:sz w:val="18"/>
                <w:szCs w:val="18"/>
                <w:lang w:val="en-US" w:eastAsia="zh-CN"/>
              </w:rPr>
            </w:pPr>
            <w:r>
              <w:rPr>
                <w:rFonts w:hint="eastAsia"/>
                <w:sz w:val="18"/>
                <w:szCs w:val="18"/>
                <w:lang w:val="en-US" w:eastAsia="zh-CN"/>
              </w:rPr>
              <w:t>个</w:t>
            </w:r>
          </w:p>
        </w:tc>
        <w:tc>
          <w:tcPr>
            <w:tcW w:w="496" w:type="pct"/>
            <w:gridSpan w:val="3"/>
            <w:noWrap w:val="0"/>
            <w:vAlign w:val="center"/>
          </w:tcPr>
          <w:p w14:paraId="64BBD265">
            <w:pPr>
              <w:snapToGrid w:val="0"/>
              <w:spacing w:line="276" w:lineRule="auto"/>
              <w:jc w:val="center"/>
              <w:rPr>
                <w:sz w:val="18"/>
                <w:szCs w:val="18"/>
              </w:rPr>
            </w:pPr>
          </w:p>
        </w:tc>
        <w:tc>
          <w:tcPr>
            <w:tcW w:w="713" w:type="pct"/>
            <w:noWrap w:val="0"/>
            <w:vAlign w:val="center"/>
          </w:tcPr>
          <w:p w14:paraId="6DE31D8F">
            <w:pPr>
              <w:snapToGrid w:val="0"/>
              <w:spacing w:line="276" w:lineRule="auto"/>
              <w:jc w:val="center"/>
              <w:rPr>
                <w:sz w:val="18"/>
                <w:szCs w:val="18"/>
              </w:rPr>
            </w:pPr>
          </w:p>
        </w:tc>
        <w:tc>
          <w:tcPr>
            <w:tcW w:w="590" w:type="pct"/>
            <w:gridSpan w:val="3"/>
            <w:noWrap w:val="0"/>
            <w:vAlign w:val="center"/>
          </w:tcPr>
          <w:p w14:paraId="71C300EE">
            <w:pPr>
              <w:snapToGrid w:val="0"/>
              <w:spacing w:line="276" w:lineRule="auto"/>
              <w:jc w:val="center"/>
              <w:rPr>
                <w:sz w:val="18"/>
                <w:szCs w:val="18"/>
              </w:rPr>
            </w:pPr>
          </w:p>
        </w:tc>
        <w:tc>
          <w:tcPr>
            <w:tcW w:w="730" w:type="pct"/>
            <w:gridSpan w:val="2"/>
            <w:noWrap w:val="0"/>
            <w:vAlign w:val="center"/>
          </w:tcPr>
          <w:p w14:paraId="4CA1C463">
            <w:pPr>
              <w:snapToGrid w:val="0"/>
              <w:spacing w:line="276" w:lineRule="auto"/>
              <w:jc w:val="center"/>
              <w:rPr>
                <w:sz w:val="18"/>
                <w:szCs w:val="18"/>
              </w:rPr>
            </w:pPr>
          </w:p>
        </w:tc>
      </w:tr>
      <w:tr w14:paraId="69507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16" w:type="pct"/>
            <w:vMerge w:val="continue"/>
            <w:noWrap w:val="0"/>
            <w:vAlign w:val="center"/>
          </w:tcPr>
          <w:p w14:paraId="62B9564B">
            <w:pPr>
              <w:snapToGrid w:val="0"/>
              <w:spacing w:line="276" w:lineRule="auto"/>
              <w:jc w:val="center"/>
              <w:rPr>
                <w:sz w:val="18"/>
                <w:szCs w:val="18"/>
              </w:rPr>
            </w:pPr>
          </w:p>
        </w:tc>
        <w:tc>
          <w:tcPr>
            <w:tcW w:w="1170" w:type="pct"/>
            <w:gridSpan w:val="4"/>
            <w:noWrap w:val="0"/>
            <w:vAlign w:val="center"/>
          </w:tcPr>
          <w:p w14:paraId="62C696EB">
            <w:pPr>
              <w:snapToGrid w:val="0"/>
              <w:spacing w:line="276" w:lineRule="auto"/>
              <w:jc w:val="center"/>
              <w:rPr>
                <w:sz w:val="18"/>
                <w:szCs w:val="18"/>
              </w:rPr>
            </w:pPr>
            <w:r>
              <w:rPr>
                <w:sz w:val="18"/>
                <w:szCs w:val="18"/>
              </w:rPr>
              <w:t>……</w:t>
            </w:r>
          </w:p>
        </w:tc>
        <w:tc>
          <w:tcPr>
            <w:tcW w:w="353" w:type="pct"/>
            <w:gridSpan w:val="2"/>
            <w:noWrap w:val="0"/>
            <w:vAlign w:val="center"/>
          </w:tcPr>
          <w:p w14:paraId="38486258">
            <w:pPr>
              <w:snapToGrid w:val="0"/>
              <w:spacing w:line="276" w:lineRule="auto"/>
              <w:jc w:val="center"/>
              <w:rPr>
                <w:sz w:val="18"/>
                <w:szCs w:val="18"/>
              </w:rPr>
            </w:pPr>
          </w:p>
        </w:tc>
        <w:tc>
          <w:tcPr>
            <w:tcW w:w="528" w:type="pct"/>
            <w:gridSpan w:val="3"/>
            <w:noWrap w:val="0"/>
            <w:vAlign w:val="center"/>
          </w:tcPr>
          <w:p w14:paraId="56B6895D">
            <w:pPr>
              <w:snapToGrid w:val="0"/>
              <w:spacing w:line="276" w:lineRule="auto"/>
              <w:jc w:val="center"/>
              <w:rPr>
                <w:sz w:val="18"/>
                <w:szCs w:val="18"/>
              </w:rPr>
            </w:pPr>
            <w:r>
              <w:rPr>
                <w:sz w:val="18"/>
                <w:szCs w:val="18"/>
              </w:rPr>
              <w:t>t</w:t>
            </w:r>
          </w:p>
        </w:tc>
        <w:tc>
          <w:tcPr>
            <w:tcW w:w="496" w:type="pct"/>
            <w:gridSpan w:val="3"/>
            <w:noWrap w:val="0"/>
            <w:vAlign w:val="center"/>
          </w:tcPr>
          <w:p w14:paraId="4D9DD9FF">
            <w:pPr>
              <w:snapToGrid w:val="0"/>
              <w:spacing w:line="276" w:lineRule="auto"/>
              <w:jc w:val="center"/>
              <w:rPr>
                <w:sz w:val="18"/>
                <w:szCs w:val="18"/>
              </w:rPr>
            </w:pPr>
          </w:p>
        </w:tc>
        <w:tc>
          <w:tcPr>
            <w:tcW w:w="713" w:type="pct"/>
            <w:noWrap w:val="0"/>
            <w:vAlign w:val="center"/>
          </w:tcPr>
          <w:p w14:paraId="51C84F3C">
            <w:pPr>
              <w:snapToGrid w:val="0"/>
              <w:spacing w:line="276" w:lineRule="auto"/>
              <w:jc w:val="center"/>
              <w:rPr>
                <w:sz w:val="18"/>
                <w:szCs w:val="18"/>
              </w:rPr>
            </w:pPr>
          </w:p>
        </w:tc>
        <w:tc>
          <w:tcPr>
            <w:tcW w:w="590" w:type="pct"/>
            <w:gridSpan w:val="3"/>
            <w:noWrap w:val="0"/>
            <w:vAlign w:val="center"/>
          </w:tcPr>
          <w:p w14:paraId="14512DA2">
            <w:pPr>
              <w:snapToGrid w:val="0"/>
              <w:spacing w:line="276" w:lineRule="auto"/>
              <w:jc w:val="center"/>
              <w:rPr>
                <w:sz w:val="18"/>
                <w:szCs w:val="18"/>
              </w:rPr>
            </w:pPr>
          </w:p>
        </w:tc>
        <w:tc>
          <w:tcPr>
            <w:tcW w:w="730" w:type="pct"/>
            <w:gridSpan w:val="2"/>
            <w:noWrap w:val="0"/>
            <w:vAlign w:val="center"/>
          </w:tcPr>
          <w:p w14:paraId="044F6F2A">
            <w:pPr>
              <w:snapToGrid w:val="0"/>
              <w:spacing w:line="276" w:lineRule="auto"/>
              <w:jc w:val="center"/>
              <w:rPr>
                <w:sz w:val="18"/>
                <w:szCs w:val="18"/>
              </w:rPr>
            </w:pPr>
          </w:p>
        </w:tc>
      </w:tr>
      <w:tr w14:paraId="1FCBE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16" w:type="pct"/>
            <w:vMerge w:val="continue"/>
            <w:noWrap w:val="0"/>
            <w:vAlign w:val="center"/>
          </w:tcPr>
          <w:p w14:paraId="63F6EDBF">
            <w:pPr>
              <w:snapToGrid w:val="0"/>
              <w:spacing w:line="276" w:lineRule="auto"/>
              <w:jc w:val="center"/>
              <w:rPr>
                <w:sz w:val="18"/>
                <w:szCs w:val="18"/>
              </w:rPr>
            </w:pPr>
          </w:p>
        </w:tc>
        <w:tc>
          <w:tcPr>
            <w:tcW w:w="1170" w:type="pct"/>
            <w:gridSpan w:val="4"/>
            <w:tcBorders>
              <w:top w:val="single" w:color="auto" w:sz="4" w:space="0"/>
              <w:bottom w:val="single" w:color="auto" w:sz="4" w:space="0"/>
              <w:right w:val="single" w:color="auto" w:sz="4" w:space="0"/>
            </w:tcBorders>
            <w:noWrap w:val="0"/>
            <w:vAlign w:val="center"/>
          </w:tcPr>
          <w:p w14:paraId="10591F7E">
            <w:pPr>
              <w:snapToGrid w:val="0"/>
              <w:spacing w:line="276" w:lineRule="auto"/>
              <w:jc w:val="center"/>
              <w:rPr>
                <w:sz w:val="18"/>
                <w:szCs w:val="18"/>
              </w:rPr>
            </w:pPr>
            <w:r>
              <w:rPr>
                <w:sz w:val="18"/>
                <w:szCs w:val="18"/>
              </w:rPr>
              <w:t>水</w:t>
            </w:r>
          </w:p>
        </w:tc>
        <w:tc>
          <w:tcPr>
            <w:tcW w:w="353" w:type="pct"/>
            <w:gridSpan w:val="2"/>
            <w:tcBorders>
              <w:top w:val="single" w:color="auto" w:sz="4" w:space="0"/>
              <w:left w:val="single" w:color="auto" w:sz="4" w:space="0"/>
              <w:bottom w:val="single" w:color="auto" w:sz="4" w:space="0"/>
              <w:right w:val="single" w:color="auto" w:sz="4" w:space="0"/>
            </w:tcBorders>
            <w:noWrap w:val="0"/>
            <w:vAlign w:val="center"/>
          </w:tcPr>
          <w:p w14:paraId="1B927C6D">
            <w:pPr>
              <w:snapToGrid w:val="0"/>
              <w:spacing w:line="276" w:lineRule="auto"/>
              <w:jc w:val="center"/>
              <w:rPr>
                <w:sz w:val="18"/>
                <w:szCs w:val="18"/>
              </w:rPr>
            </w:pPr>
          </w:p>
        </w:tc>
        <w:tc>
          <w:tcPr>
            <w:tcW w:w="528" w:type="pct"/>
            <w:gridSpan w:val="3"/>
            <w:tcBorders>
              <w:top w:val="single" w:color="auto" w:sz="4" w:space="0"/>
              <w:left w:val="single" w:color="auto" w:sz="4" w:space="0"/>
              <w:bottom w:val="single" w:color="auto" w:sz="4" w:space="0"/>
              <w:right w:val="single" w:color="auto" w:sz="4" w:space="0"/>
            </w:tcBorders>
            <w:noWrap w:val="0"/>
            <w:vAlign w:val="center"/>
          </w:tcPr>
          <w:p w14:paraId="6F37D7BA">
            <w:pPr>
              <w:snapToGrid w:val="0"/>
              <w:spacing w:line="276" w:lineRule="auto"/>
              <w:jc w:val="center"/>
              <w:rPr>
                <w:sz w:val="18"/>
                <w:szCs w:val="18"/>
              </w:rPr>
            </w:pPr>
            <w:r>
              <w:rPr>
                <w:sz w:val="18"/>
                <w:szCs w:val="18"/>
              </w:rPr>
              <w:t>m</w:t>
            </w:r>
            <w:r>
              <w:rPr>
                <w:sz w:val="18"/>
                <w:szCs w:val="18"/>
                <w:vertAlign w:val="superscript"/>
              </w:rPr>
              <w:t>3</w:t>
            </w:r>
          </w:p>
        </w:tc>
        <w:tc>
          <w:tcPr>
            <w:tcW w:w="496" w:type="pct"/>
            <w:gridSpan w:val="3"/>
            <w:tcBorders>
              <w:top w:val="single" w:color="auto" w:sz="4" w:space="0"/>
              <w:left w:val="single" w:color="auto" w:sz="4" w:space="0"/>
              <w:bottom w:val="single" w:color="auto" w:sz="4" w:space="0"/>
              <w:right w:val="single" w:color="auto" w:sz="4" w:space="0"/>
            </w:tcBorders>
            <w:noWrap w:val="0"/>
            <w:vAlign w:val="center"/>
          </w:tcPr>
          <w:p w14:paraId="727BE0E8">
            <w:pPr>
              <w:snapToGrid w:val="0"/>
              <w:spacing w:line="276" w:lineRule="auto"/>
              <w:jc w:val="center"/>
              <w:rPr>
                <w:sz w:val="18"/>
                <w:szCs w:val="18"/>
              </w:rPr>
            </w:pPr>
          </w:p>
        </w:tc>
        <w:tc>
          <w:tcPr>
            <w:tcW w:w="2035" w:type="pct"/>
            <w:gridSpan w:val="6"/>
            <w:tcBorders>
              <w:top w:val="single" w:color="auto" w:sz="4" w:space="0"/>
              <w:left w:val="single" w:color="auto" w:sz="4" w:space="0"/>
              <w:bottom w:val="single" w:color="auto" w:sz="4" w:space="0"/>
              <w:right w:val="single" w:color="auto" w:sz="4" w:space="0"/>
            </w:tcBorders>
            <w:noWrap w:val="0"/>
            <w:vAlign w:val="center"/>
          </w:tcPr>
          <w:p w14:paraId="621A064A">
            <w:pPr>
              <w:snapToGrid w:val="0"/>
              <w:spacing w:line="276" w:lineRule="auto"/>
              <w:jc w:val="center"/>
              <w:rPr>
                <w:sz w:val="18"/>
                <w:szCs w:val="18"/>
                <w:u w:val="single"/>
              </w:rPr>
            </w:pPr>
            <w:r>
              <w:rPr>
                <w:sz w:val="18"/>
                <w:szCs w:val="18"/>
              </w:rPr>
              <w:t>说明来源（自来水、河水等）：</w:t>
            </w:r>
            <w:r>
              <w:rPr>
                <w:sz w:val="18"/>
                <w:szCs w:val="18"/>
                <w:u w:val="single"/>
              </w:rPr>
              <w:t xml:space="preserve">     </w:t>
            </w:r>
          </w:p>
        </w:tc>
      </w:tr>
      <w:tr w14:paraId="5C1B7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16" w:type="pct"/>
            <w:vMerge w:val="restart"/>
            <w:noWrap w:val="0"/>
            <w:vAlign w:val="center"/>
          </w:tcPr>
          <w:p w14:paraId="378A3FDB">
            <w:pPr>
              <w:snapToGrid w:val="0"/>
              <w:spacing w:line="276" w:lineRule="auto"/>
              <w:jc w:val="center"/>
              <w:rPr>
                <w:sz w:val="18"/>
                <w:szCs w:val="18"/>
              </w:rPr>
            </w:pPr>
            <w:r>
              <w:rPr>
                <w:sz w:val="18"/>
                <w:szCs w:val="18"/>
              </w:rPr>
              <w:t>能源消耗</w:t>
            </w:r>
          </w:p>
        </w:tc>
        <w:tc>
          <w:tcPr>
            <w:tcW w:w="1170" w:type="pct"/>
            <w:gridSpan w:val="4"/>
            <w:tcBorders>
              <w:top w:val="single" w:color="auto" w:sz="4" w:space="0"/>
            </w:tcBorders>
            <w:noWrap w:val="0"/>
            <w:vAlign w:val="center"/>
          </w:tcPr>
          <w:p w14:paraId="71418E52">
            <w:pPr>
              <w:snapToGrid w:val="0"/>
              <w:spacing w:line="276" w:lineRule="auto"/>
              <w:jc w:val="center"/>
              <w:rPr>
                <w:sz w:val="18"/>
                <w:szCs w:val="18"/>
              </w:rPr>
            </w:pPr>
            <w:r>
              <w:rPr>
                <w:sz w:val="18"/>
                <w:szCs w:val="18"/>
              </w:rPr>
              <w:t>种类</w:t>
            </w:r>
          </w:p>
        </w:tc>
        <w:tc>
          <w:tcPr>
            <w:tcW w:w="353" w:type="pct"/>
            <w:gridSpan w:val="2"/>
            <w:tcBorders>
              <w:top w:val="single" w:color="auto" w:sz="4" w:space="0"/>
            </w:tcBorders>
            <w:noWrap w:val="0"/>
            <w:vAlign w:val="center"/>
          </w:tcPr>
          <w:p w14:paraId="6FAD80D0">
            <w:pPr>
              <w:snapToGrid w:val="0"/>
              <w:spacing w:line="276" w:lineRule="auto"/>
              <w:jc w:val="center"/>
              <w:rPr>
                <w:sz w:val="18"/>
                <w:szCs w:val="18"/>
              </w:rPr>
            </w:pPr>
            <w:r>
              <w:rPr>
                <w:sz w:val="18"/>
                <w:szCs w:val="18"/>
              </w:rPr>
              <w:t>消耗量</w:t>
            </w:r>
          </w:p>
        </w:tc>
        <w:tc>
          <w:tcPr>
            <w:tcW w:w="528" w:type="pct"/>
            <w:gridSpan w:val="3"/>
            <w:tcBorders>
              <w:top w:val="single" w:color="auto" w:sz="4" w:space="0"/>
            </w:tcBorders>
            <w:noWrap w:val="0"/>
            <w:vAlign w:val="center"/>
          </w:tcPr>
          <w:p w14:paraId="5590AEC6">
            <w:pPr>
              <w:snapToGrid w:val="0"/>
              <w:spacing w:line="276" w:lineRule="auto"/>
              <w:jc w:val="center"/>
              <w:rPr>
                <w:sz w:val="18"/>
                <w:szCs w:val="18"/>
              </w:rPr>
            </w:pPr>
            <w:r>
              <w:rPr>
                <w:sz w:val="18"/>
                <w:szCs w:val="18"/>
              </w:rPr>
              <w:t>单位</w:t>
            </w:r>
          </w:p>
        </w:tc>
        <w:tc>
          <w:tcPr>
            <w:tcW w:w="1209" w:type="pct"/>
            <w:gridSpan w:val="4"/>
            <w:tcBorders>
              <w:top w:val="single" w:color="auto" w:sz="4" w:space="0"/>
            </w:tcBorders>
            <w:noWrap w:val="0"/>
            <w:vAlign w:val="center"/>
          </w:tcPr>
          <w:p w14:paraId="2143F7FD">
            <w:pPr>
              <w:snapToGrid w:val="0"/>
              <w:spacing w:line="276" w:lineRule="auto"/>
              <w:jc w:val="center"/>
              <w:rPr>
                <w:sz w:val="18"/>
                <w:szCs w:val="18"/>
              </w:rPr>
            </w:pPr>
            <w:r>
              <w:rPr>
                <w:sz w:val="18"/>
                <w:szCs w:val="18"/>
              </w:rPr>
              <w:t>低位发热量数据来源</w:t>
            </w:r>
          </w:p>
        </w:tc>
        <w:tc>
          <w:tcPr>
            <w:tcW w:w="1321" w:type="pct"/>
            <w:gridSpan w:val="5"/>
            <w:tcBorders>
              <w:top w:val="single" w:color="auto" w:sz="4" w:space="0"/>
            </w:tcBorders>
            <w:noWrap w:val="0"/>
            <w:vAlign w:val="center"/>
          </w:tcPr>
          <w:p w14:paraId="7588D443">
            <w:pPr>
              <w:snapToGrid w:val="0"/>
              <w:spacing w:line="276" w:lineRule="auto"/>
              <w:jc w:val="center"/>
              <w:rPr>
                <w:sz w:val="18"/>
                <w:szCs w:val="18"/>
              </w:rPr>
            </w:pPr>
            <w:r>
              <w:rPr>
                <w:sz w:val="18"/>
                <w:szCs w:val="18"/>
              </w:rPr>
              <w:t>详细情况说明</w:t>
            </w:r>
          </w:p>
        </w:tc>
      </w:tr>
      <w:tr w14:paraId="4CDB5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16" w:type="pct"/>
            <w:vMerge w:val="continue"/>
            <w:noWrap w:val="0"/>
            <w:vAlign w:val="center"/>
          </w:tcPr>
          <w:p w14:paraId="5561CFAA">
            <w:pPr>
              <w:snapToGrid w:val="0"/>
              <w:spacing w:line="276" w:lineRule="auto"/>
              <w:jc w:val="center"/>
              <w:rPr>
                <w:sz w:val="18"/>
                <w:szCs w:val="18"/>
              </w:rPr>
            </w:pPr>
          </w:p>
        </w:tc>
        <w:tc>
          <w:tcPr>
            <w:tcW w:w="1170" w:type="pct"/>
            <w:gridSpan w:val="4"/>
            <w:noWrap w:val="0"/>
            <w:vAlign w:val="center"/>
          </w:tcPr>
          <w:p w14:paraId="19505FDD">
            <w:pPr>
              <w:snapToGrid w:val="0"/>
              <w:spacing w:line="276" w:lineRule="auto"/>
              <w:jc w:val="center"/>
              <w:rPr>
                <w:sz w:val="18"/>
                <w:szCs w:val="18"/>
              </w:rPr>
            </w:pPr>
            <w:r>
              <w:rPr>
                <w:sz w:val="18"/>
                <w:szCs w:val="18"/>
              </w:rPr>
              <w:t>电力</w:t>
            </w:r>
          </w:p>
        </w:tc>
        <w:tc>
          <w:tcPr>
            <w:tcW w:w="353" w:type="pct"/>
            <w:gridSpan w:val="2"/>
            <w:noWrap w:val="0"/>
            <w:vAlign w:val="center"/>
          </w:tcPr>
          <w:p w14:paraId="2756E35A">
            <w:pPr>
              <w:snapToGrid w:val="0"/>
              <w:spacing w:line="276" w:lineRule="auto"/>
              <w:jc w:val="center"/>
              <w:rPr>
                <w:sz w:val="18"/>
                <w:szCs w:val="18"/>
              </w:rPr>
            </w:pPr>
          </w:p>
        </w:tc>
        <w:tc>
          <w:tcPr>
            <w:tcW w:w="528" w:type="pct"/>
            <w:gridSpan w:val="3"/>
            <w:noWrap w:val="0"/>
            <w:vAlign w:val="center"/>
          </w:tcPr>
          <w:p w14:paraId="64CEAD84">
            <w:pPr>
              <w:snapToGrid w:val="0"/>
              <w:spacing w:line="276" w:lineRule="auto"/>
              <w:jc w:val="center"/>
              <w:rPr>
                <w:sz w:val="18"/>
                <w:szCs w:val="18"/>
              </w:rPr>
            </w:pPr>
            <w:r>
              <w:rPr>
                <w:sz w:val="18"/>
                <w:szCs w:val="18"/>
              </w:rPr>
              <w:t>kWh</w:t>
            </w:r>
          </w:p>
        </w:tc>
        <w:tc>
          <w:tcPr>
            <w:tcW w:w="1209" w:type="pct"/>
            <w:gridSpan w:val="4"/>
            <w:noWrap w:val="0"/>
            <w:vAlign w:val="center"/>
          </w:tcPr>
          <w:p w14:paraId="3F2887F9">
            <w:pPr>
              <w:snapToGrid w:val="0"/>
              <w:spacing w:line="276" w:lineRule="auto"/>
              <w:jc w:val="center"/>
              <w:rPr>
                <w:sz w:val="18"/>
                <w:szCs w:val="18"/>
              </w:rPr>
            </w:pPr>
          </w:p>
        </w:tc>
        <w:tc>
          <w:tcPr>
            <w:tcW w:w="1321" w:type="pct"/>
            <w:gridSpan w:val="5"/>
            <w:noWrap w:val="0"/>
            <w:vAlign w:val="center"/>
          </w:tcPr>
          <w:p w14:paraId="32CF902E">
            <w:pPr>
              <w:snapToGrid w:val="0"/>
              <w:spacing w:line="276" w:lineRule="auto"/>
              <w:rPr>
                <w:sz w:val="18"/>
                <w:szCs w:val="18"/>
                <w:u w:val="single"/>
              </w:rPr>
            </w:pPr>
            <w:r>
              <w:rPr>
                <w:sz w:val="18"/>
                <w:szCs w:val="18"/>
              </w:rPr>
              <w:t>低位发热量：</w:t>
            </w:r>
            <w:r>
              <w:rPr>
                <w:sz w:val="18"/>
                <w:szCs w:val="18"/>
                <w:u w:val="single"/>
              </w:rPr>
              <w:t xml:space="preserve">         </w:t>
            </w:r>
          </w:p>
        </w:tc>
      </w:tr>
      <w:tr w14:paraId="7F889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16" w:type="pct"/>
            <w:vMerge w:val="continue"/>
            <w:noWrap w:val="0"/>
            <w:vAlign w:val="center"/>
          </w:tcPr>
          <w:p w14:paraId="2D07C251">
            <w:pPr>
              <w:snapToGrid w:val="0"/>
              <w:spacing w:line="276" w:lineRule="auto"/>
              <w:jc w:val="center"/>
              <w:rPr>
                <w:sz w:val="18"/>
                <w:szCs w:val="18"/>
              </w:rPr>
            </w:pPr>
          </w:p>
        </w:tc>
        <w:tc>
          <w:tcPr>
            <w:tcW w:w="1170" w:type="pct"/>
            <w:gridSpan w:val="4"/>
            <w:noWrap w:val="0"/>
            <w:vAlign w:val="center"/>
          </w:tcPr>
          <w:p w14:paraId="0D19B2E2">
            <w:pPr>
              <w:snapToGrid w:val="0"/>
              <w:spacing w:line="276" w:lineRule="auto"/>
              <w:jc w:val="center"/>
              <w:rPr>
                <w:sz w:val="18"/>
                <w:szCs w:val="18"/>
              </w:rPr>
            </w:pPr>
            <w:r>
              <w:rPr>
                <w:sz w:val="18"/>
                <w:szCs w:val="18"/>
              </w:rPr>
              <w:t>天然气</w:t>
            </w:r>
          </w:p>
        </w:tc>
        <w:tc>
          <w:tcPr>
            <w:tcW w:w="353" w:type="pct"/>
            <w:gridSpan w:val="2"/>
            <w:noWrap w:val="0"/>
            <w:vAlign w:val="center"/>
          </w:tcPr>
          <w:p w14:paraId="20F3BAF1">
            <w:pPr>
              <w:snapToGrid w:val="0"/>
              <w:spacing w:line="276" w:lineRule="auto"/>
              <w:jc w:val="center"/>
              <w:rPr>
                <w:sz w:val="18"/>
                <w:szCs w:val="18"/>
              </w:rPr>
            </w:pPr>
          </w:p>
        </w:tc>
        <w:tc>
          <w:tcPr>
            <w:tcW w:w="528" w:type="pct"/>
            <w:gridSpan w:val="3"/>
            <w:noWrap w:val="0"/>
            <w:vAlign w:val="center"/>
          </w:tcPr>
          <w:p w14:paraId="4FFC6B96">
            <w:pPr>
              <w:snapToGrid w:val="0"/>
              <w:spacing w:line="276" w:lineRule="auto"/>
              <w:jc w:val="center"/>
              <w:rPr>
                <w:sz w:val="18"/>
                <w:szCs w:val="18"/>
              </w:rPr>
            </w:pPr>
            <w:r>
              <w:rPr>
                <w:sz w:val="18"/>
                <w:szCs w:val="18"/>
              </w:rPr>
              <w:t>m</w:t>
            </w:r>
            <w:r>
              <w:rPr>
                <w:sz w:val="18"/>
                <w:szCs w:val="18"/>
                <w:vertAlign w:val="superscript"/>
              </w:rPr>
              <w:t>3</w:t>
            </w:r>
          </w:p>
        </w:tc>
        <w:tc>
          <w:tcPr>
            <w:tcW w:w="1209" w:type="pct"/>
            <w:gridSpan w:val="4"/>
            <w:noWrap w:val="0"/>
            <w:vAlign w:val="center"/>
          </w:tcPr>
          <w:p w14:paraId="5B3EE81B">
            <w:pPr>
              <w:snapToGrid w:val="0"/>
              <w:spacing w:line="276" w:lineRule="auto"/>
              <w:jc w:val="center"/>
              <w:rPr>
                <w:sz w:val="18"/>
                <w:szCs w:val="18"/>
              </w:rPr>
            </w:pPr>
          </w:p>
        </w:tc>
        <w:tc>
          <w:tcPr>
            <w:tcW w:w="1321" w:type="pct"/>
            <w:gridSpan w:val="5"/>
            <w:noWrap w:val="0"/>
            <w:vAlign w:val="center"/>
          </w:tcPr>
          <w:p w14:paraId="65481AC5">
            <w:pPr>
              <w:snapToGrid w:val="0"/>
              <w:spacing w:line="276" w:lineRule="auto"/>
              <w:jc w:val="left"/>
              <w:rPr>
                <w:sz w:val="18"/>
                <w:szCs w:val="18"/>
              </w:rPr>
            </w:pPr>
            <w:r>
              <w:rPr>
                <w:sz w:val="18"/>
                <w:szCs w:val="18"/>
              </w:rPr>
              <w:t>低位发热量：</w:t>
            </w:r>
            <w:r>
              <w:rPr>
                <w:sz w:val="18"/>
                <w:szCs w:val="18"/>
                <w:u w:val="single"/>
              </w:rPr>
              <w:t xml:space="preserve">         </w:t>
            </w:r>
          </w:p>
        </w:tc>
      </w:tr>
      <w:tr w14:paraId="29626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16" w:type="pct"/>
            <w:vMerge w:val="continue"/>
            <w:noWrap w:val="0"/>
            <w:vAlign w:val="center"/>
          </w:tcPr>
          <w:p w14:paraId="44308DF6">
            <w:pPr>
              <w:snapToGrid w:val="0"/>
              <w:spacing w:line="276" w:lineRule="auto"/>
              <w:jc w:val="center"/>
              <w:rPr>
                <w:sz w:val="18"/>
                <w:szCs w:val="18"/>
              </w:rPr>
            </w:pPr>
          </w:p>
        </w:tc>
        <w:tc>
          <w:tcPr>
            <w:tcW w:w="1170" w:type="pct"/>
            <w:gridSpan w:val="4"/>
            <w:noWrap w:val="0"/>
            <w:vAlign w:val="center"/>
          </w:tcPr>
          <w:p w14:paraId="539B4378">
            <w:pPr>
              <w:snapToGrid w:val="0"/>
              <w:spacing w:line="276" w:lineRule="auto"/>
              <w:jc w:val="center"/>
              <w:rPr>
                <w:sz w:val="18"/>
                <w:szCs w:val="18"/>
              </w:rPr>
            </w:pPr>
            <w:r>
              <w:rPr>
                <w:sz w:val="18"/>
                <w:szCs w:val="18"/>
              </w:rPr>
              <w:t>热力</w:t>
            </w:r>
          </w:p>
        </w:tc>
        <w:tc>
          <w:tcPr>
            <w:tcW w:w="353" w:type="pct"/>
            <w:gridSpan w:val="2"/>
            <w:noWrap w:val="0"/>
            <w:vAlign w:val="center"/>
          </w:tcPr>
          <w:p w14:paraId="6496C828">
            <w:pPr>
              <w:snapToGrid w:val="0"/>
              <w:spacing w:line="276" w:lineRule="auto"/>
              <w:jc w:val="center"/>
              <w:rPr>
                <w:sz w:val="18"/>
                <w:szCs w:val="18"/>
              </w:rPr>
            </w:pPr>
          </w:p>
        </w:tc>
        <w:tc>
          <w:tcPr>
            <w:tcW w:w="528" w:type="pct"/>
            <w:gridSpan w:val="3"/>
            <w:noWrap w:val="0"/>
            <w:vAlign w:val="center"/>
          </w:tcPr>
          <w:p w14:paraId="0E9F54E4">
            <w:pPr>
              <w:snapToGrid w:val="0"/>
              <w:spacing w:line="276" w:lineRule="auto"/>
              <w:jc w:val="center"/>
              <w:rPr>
                <w:sz w:val="18"/>
                <w:szCs w:val="18"/>
              </w:rPr>
            </w:pPr>
            <w:r>
              <w:rPr>
                <w:sz w:val="18"/>
                <w:szCs w:val="18"/>
              </w:rPr>
              <w:t>t</w:t>
            </w:r>
          </w:p>
        </w:tc>
        <w:tc>
          <w:tcPr>
            <w:tcW w:w="1209" w:type="pct"/>
            <w:gridSpan w:val="4"/>
            <w:noWrap w:val="0"/>
            <w:vAlign w:val="center"/>
          </w:tcPr>
          <w:p w14:paraId="7A7E3386">
            <w:pPr>
              <w:snapToGrid w:val="0"/>
              <w:spacing w:line="276" w:lineRule="auto"/>
              <w:jc w:val="center"/>
              <w:rPr>
                <w:sz w:val="18"/>
                <w:szCs w:val="18"/>
              </w:rPr>
            </w:pPr>
          </w:p>
        </w:tc>
        <w:tc>
          <w:tcPr>
            <w:tcW w:w="1321" w:type="pct"/>
            <w:gridSpan w:val="5"/>
            <w:noWrap w:val="0"/>
            <w:vAlign w:val="center"/>
          </w:tcPr>
          <w:p w14:paraId="0CEF5D59">
            <w:pPr>
              <w:snapToGrid w:val="0"/>
              <w:spacing w:line="276" w:lineRule="auto"/>
              <w:jc w:val="left"/>
              <w:rPr>
                <w:sz w:val="18"/>
                <w:szCs w:val="18"/>
              </w:rPr>
            </w:pPr>
            <w:r>
              <w:rPr>
                <w:sz w:val="18"/>
                <w:szCs w:val="18"/>
              </w:rPr>
              <w:t>低位发热量：</w:t>
            </w:r>
            <w:r>
              <w:rPr>
                <w:sz w:val="18"/>
                <w:szCs w:val="18"/>
                <w:u w:val="single"/>
              </w:rPr>
              <w:t xml:space="preserve">         </w:t>
            </w:r>
          </w:p>
        </w:tc>
      </w:tr>
      <w:tr w14:paraId="34BDC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16" w:type="pct"/>
            <w:vMerge w:val="continue"/>
            <w:noWrap w:val="0"/>
            <w:vAlign w:val="center"/>
          </w:tcPr>
          <w:p w14:paraId="312A30AF">
            <w:pPr>
              <w:snapToGrid w:val="0"/>
              <w:spacing w:line="276" w:lineRule="auto"/>
              <w:jc w:val="center"/>
              <w:rPr>
                <w:sz w:val="18"/>
                <w:szCs w:val="18"/>
              </w:rPr>
            </w:pPr>
          </w:p>
        </w:tc>
        <w:tc>
          <w:tcPr>
            <w:tcW w:w="1170" w:type="pct"/>
            <w:gridSpan w:val="4"/>
            <w:noWrap w:val="0"/>
            <w:vAlign w:val="center"/>
          </w:tcPr>
          <w:p w14:paraId="3B9F659C">
            <w:pPr>
              <w:snapToGrid w:val="0"/>
              <w:spacing w:line="276" w:lineRule="auto"/>
              <w:jc w:val="center"/>
              <w:rPr>
                <w:sz w:val="18"/>
                <w:szCs w:val="18"/>
                <w:u w:val="single"/>
              </w:rPr>
            </w:pPr>
            <w:r>
              <w:rPr>
                <w:sz w:val="18"/>
                <w:szCs w:val="18"/>
              </w:rPr>
              <w:t>柴油</w:t>
            </w:r>
          </w:p>
        </w:tc>
        <w:tc>
          <w:tcPr>
            <w:tcW w:w="353" w:type="pct"/>
            <w:gridSpan w:val="2"/>
            <w:noWrap w:val="0"/>
            <w:vAlign w:val="center"/>
          </w:tcPr>
          <w:p w14:paraId="75AE86F5">
            <w:pPr>
              <w:snapToGrid w:val="0"/>
              <w:spacing w:line="276" w:lineRule="auto"/>
              <w:jc w:val="center"/>
              <w:rPr>
                <w:sz w:val="18"/>
                <w:szCs w:val="18"/>
              </w:rPr>
            </w:pPr>
          </w:p>
        </w:tc>
        <w:tc>
          <w:tcPr>
            <w:tcW w:w="528" w:type="pct"/>
            <w:gridSpan w:val="3"/>
            <w:noWrap w:val="0"/>
            <w:vAlign w:val="center"/>
          </w:tcPr>
          <w:p w14:paraId="23872301">
            <w:pPr>
              <w:snapToGrid w:val="0"/>
              <w:spacing w:line="276" w:lineRule="auto"/>
              <w:jc w:val="center"/>
              <w:rPr>
                <w:sz w:val="18"/>
                <w:szCs w:val="18"/>
              </w:rPr>
            </w:pPr>
            <w:r>
              <w:rPr>
                <w:sz w:val="18"/>
                <w:szCs w:val="18"/>
              </w:rPr>
              <w:t>t</w:t>
            </w:r>
          </w:p>
        </w:tc>
        <w:tc>
          <w:tcPr>
            <w:tcW w:w="1209" w:type="pct"/>
            <w:gridSpan w:val="4"/>
            <w:noWrap w:val="0"/>
            <w:vAlign w:val="center"/>
          </w:tcPr>
          <w:p w14:paraId="5ABC6A94">
            <w:pPr>
              <w:snapToGrid w:val="0"/>
              <w:spacing w:line="276" w:lineRule="auto"/>
              <w:jc w:val="center"/>
              <w:rPr>
                <w:sz w:val="18"/>
                <w:szCs w:val="18"/>
              </w:rPr>
            </w:pPr>
          </w:p>
        </w:tc>
        <w:tc>
          <w:tcPr>
            <w:tcW w:w="1321" w:type="pct"/>
            <w:gridSpan w:val="5"/>
            <w:noWrap w:val="0"/>
            <w:vAlign w:val="center"/>
          </w:tcPr>
          <w:p w14:paraId="0471FFB2">
            <w:pPr>
              <w:snapToGrid w:val="0"/>
              <w:spacing w:line="276" w:lineRule="auto"/>
              <w:jc w:val="left"/>
              <w:rPr>
                <w:sz w:val="18"/>
                <w:szCs w:val="18"/>
                <w:u w:val="single"/>
              </w:rPr>
            </w:pPr>
          </w:p>
        </w:tc>
      </w:tr>
      <w:tr w14:paraId="6236F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16" w:type="pct"/>
            <w:vMerge w:val="continue"/>
            <w:noWrap w:val="0"/>
            <w:vAlign w:val="center"/>
          </w:tcPr>
          <w:p w14:paraId="712C5F1C">
            <w:pPr>
              <w:snapToGrid w:val="0"/>
              <w:spacing w:line="276" w:lineRule="auto"/>
              <w:jc w:val="center"/>
              <w:rPr>
                <w:sz w:val="18"/>
                <w:szCs w:val="18"/>
              </w:rPr>
            </w:pPr>
          </w:p>
        </w:tc>
        <w:tc>
          <w:tcPr>
            <w:tcW w:w="1170" w:type="pct"/>
            <w:gridSpan w:val="4"/>
            <w:noWrap w:val="0"/>
            <w:vAlign w:val="center"/>
          </w:tcPr>
          <w:p w14:paraId="36DCFF79">
            <w:pPr>
              <w:snapToGrid w:val="0"/>
              <w:spacing w:line="276" w:lineRule="auto"/>
              <w:jc w:val="center"/>
              <w:rPr>
                <w:sz w:val="18"/>
                <w:szCs w:val="18"/>
              </w:rPr>
            </w:pPr>
            <w:r>
              <w:rPr>
                <w:sz w:val="18"/>
                <w:szCs w:val="18"/>
              </w:rPr>
              <w:t>……</w:t>
            </w:r>
          </w:p>
        </w:tc>
        <w:tc>
          <w:tcPr>
            <w:tcW w:w="353" w:type="pct"/>
            <w:gridSpan w:val="2"/>
            <w:noWrap w:val="0"/>
            <w:vAlign w:val="center"/>
          </w:tcPr>
          <w:p w14:paraId="6E1C0F5B">
            <w:pPr>
              <w:snapToGrid w:val="0"/>
              <w:spacing w:line="276" w:lineRule="auto"/>
              <w:jc w:val="center"/>
              <w:rPr>
                <w:sz w:val="18"/>
                <w:szCs w:val="18"/>
              </w:rPr>
            </w:pPr>
          </w:p>
        </w:tc>
        <w:tc>
          <w:tcPr>
            <w:tcW w:w="528" w:type="pct"/>
            <w:gridSpan w:val="3"/>
            <w:noWrap w:val="0"/>
            <w:vAlign w:val="center"/>
          </w:tcPr>
          <w:p w14:paraId="232BC40C">
            <w:pPr>
              <w:snapToGrid w:val="0"/>
              <w:spacing w:line="276" w:lineRule="auto"/>
              <w:jc w:val="center"/>
              <w:rPr>
                <w:sz w:val="18"/>
                <w:szCs w:val="18"/>
              </w:rPr>
            </w:pPr>
            <w:r>
              <w:rPr>
                <w:sz w:val="18"/>
                <w:szCs w:val="18"/>
              </w:rPr>
              <w:t>--</w:t>
            </w:r>
          </w:p>
        </w:tc>
        <w:tc>
          <w:tcPr>
            <w:tcW w:w="1209" w:type="pct"/>
            <w:gridSpan w:val="4"/>
            <w:noWrap w:val="0"/>
            <w:vAlign w:val="center"/>
          </w:tcPr>
          <w:p w14:paraId="69085A66">
            <w:pPr>
              <w:snapToGrid w:val="0"/>
              <w:spacing w:line="276" w:lineRule="auto"/>
              <w:jc w:val="center"/>
              <w:rPr>
                <w:sz w:val="18"/>
                <w:szCs w:val="18"/>
              </w:rPr>
            </w:pPr>
          </w:p>
        </w:tc>
        <w:tc>
          <w:tcPr>
            <w:tcW w:w="1321" w:type="pct"/>
            <w:gridSpan w:val="5"/>
            <w:noWrap w:val="0"/>
            <w:vAlign w:val="center"/>
          </w:tcPr>
          <w:p w14:paraId="3F65A9A4">
            <w:pPr>
              <w:snapToGrid w:val="0"/>
              <w:spacing w:line="276" w:lineRule="auto"/>
              <w:jc w:val="left"/>
              <w:rPr>
                <w:sz w:val="18"/>
                <w:szCs w:val="18"/>
              </w:rPr>
            </w:pPr>
          </w:p>
        </w:tc>
      </w:tr>
      <w:tr w14:paraId="7E448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16" w:type="pct"/>
            <w:vMerge w:val="restart"/>
            <w:tcBorders>
              <w:top w:val="single" w:color="auto" w:sz="4" w:space="0"/>
              <w:left w:val="single" w:color="auto" w:sz="4" w:space="0"/>
              <w:right w:val="single" w:color="auto" w:sz="4" w:space="0"/>
            </w:tcBorders>
            <w:noWrap w:val="0"/>
            <w:vAlign w:val="center"/>
          </w:tcPr>
          <w:p w14:paraId="3BF5341C">
            <w:pPr>
              <w:snapToGrid w:val="0"/>
              <w:spacing w:line="276" w:lineRule="auto"/>
              <w:jc w:val="center"/>
              <w:rPr>
                <w:sz w:val="18"/>
                <w:szCs w:val="18"/>
              </w:rPr>
            </w:pPr>
            <w:r>
              <w:rPr>
                <w:sz w:val="18"/>
                <w:szCs w:val="18"/>
              </w:rPr>
              <w:t>环境排放</w:t>
            </w:r>
          </w:p>
        </w:tc>
        <w:tc>
          <w:tcPr>
            <w:tcW w:w="1170" w:type="pct"/>
            <w:gridSpan w:val="4"/>
            <w:tcBorders>
              <w:top w:val="single" w:color="auto" w:sz="4" w:space="0"/>
              <w:left w:val="single" w:color="auto" w:sz="4" w:space="0"/>
              <w:bottom w:val="single" w:color="auto" w:sz="4" w:space="0"/>
              <w:right w:val="single" w:color="auto" w:sz="4" w:space="0"/>
            </w:tcBorders>
            <w:noWrap w:val="0"/>
            <w:vAlign w:val="center"/>
          </w:tcPr>
          <w:p w14:paraId="3AFF928A">
            <w:pPr>
              <w:snapToGrid w:val="0"/>
              <w:spacing w:line="276" w:lineRule="auto"/>
              <w:jc w:val="center"/>
              <w:rPr>
                <w:sz w:val="18"/>
                <w:szCs w:val="18"/>
              </w:rPr>
            </w:pPr>
            <w:r>
              <w:rPr>
                <w:sz w:val="18"/>
                <w:szCs w:val="18"/>
              </w:rPr>
              <w:t>种类</w:t>
            </w:r>
          </w:p>
        </w:tc>
        <w:tc>
          <w:tcPr>
            <w:tcW w:w="353" w:type="pct"/>
            <w:gridSpan w:val="2"/>
            <w:tcBorders>
              <w:top w:val="single" w:color="auto" w:sz="4" w:space="0"/>
              <w:left w:val="single" w:color="auto" w:sz="4" w:space="0"/>
              <w:bottom w:val="single" w:color="auto" w:sz="4" w:space="0"/>
              <w:right w:val="single" w:color="auto" w:sz="4" w:space="0"/>
            </w:tcBorders>
            <w:noWrap w:val="0"/>
            <w:vAlign w:val="center"/>
          </w:tcPr>
          <w:p w14:paraId="2602BB5A">
            <w:pPr>
              <w:snapToGrid w:val="0"/>
              <w:spacing w:line="276" w:lineRule="auto"/>
              <w:jc w:val="center"/>
              <w:rPr>
                <w:sz w:val="18"/>
                <w:szCs w:val="18"/>
              </w:rPr>
            </w:pPr>
            <w:r>
              <w:rPr>
                <w:sz w:val="18"/>
                <w:szCs w:val="18"/>
              </w:rPr>
              <w:t>排放量</w:t>
            </w:r>
          </w:p>
        </w:tc>
        <w:tc>
          <w:tcPr>
            <w:tcW w:w="528" w:type="pct"/>
            <w:gridSpan w:val="3"/>
            <w:tcBorders>
              <w:top w:val="single" w:color="auto" w:sz="4" w:space="0"/>
              <w:left w:val="single" w:color="auto" w:sz="4" w:space="0"/>
              <w:bottom w:val="single" w:color="auto" w:sz="4" w:space="0"/>
              <w:right w:val="single" w:color="auto" w:sz="4" w:space="0"/>
            </w:tcBorders>
            <w:noWrap w:val="0"/>
            <w:vAlign w:val="center"/>
          </w:tcPr>
          <w:p w14:paraId="56807BA4">
            <w:pPr>
              <w:snapToGrid w:val="0"/>
              <w:spacing w:line="276" w:lineRule="auto"/>
              <w:jc w:val="center"/>
              <w:rPr>
                <w:sz w:val="18"/>
                <w:szCs w:val="18"/>
              </w:rPr>
            </w:pPr>
            <w:r>
              <w:rPr>
                <w:sz w:val="18"/>
                <w:szCs w:val="18"/>
              </w:rPr>
              <w:t>单位</w:t>
            </w:r>
          </w:p>
        </w:tc>
        <w:tc>
          <w:tcPr>
            <w:tcW w:w="1209" w:type="pct"/>
            <w:gridSpan w:val="4"/>
            <w:tcBorders>
              <w:top w:val="single" w:color="auto" w:sz="4" w:space="0"/>
              <w:left w:val="single" w:color="auto" w:sz="4" w:space="0"/>
              <w:bottom w:val="single" w:color="auto" w:sz="4" w:space="0"/>
              <w:right w:val="single" w:color="auto" w:sz="4" w:space="0"/>
            </w:tcBorders>
            <w:noWrap w:val="0"/>
            <w:vAlign w:val="center"/>
          </w:tcPr>
          <w:p w14:paraId="623729D5">
            <w:pPr>
              <w:snapToGrid w:val="0"/>
              <w:spacing w:line="276" w:lineRule="auto"/>
              <w:jc w:val="center"/>
              <w:rPr>
                <w:sz w:val="18"/>
                <w:szCs w:val="18"/>
              </w:rPr>
            </w:pPr>
            <w:r>
              <w:rPr>
                <w:sz w:val="18"/>
                <w:szCs w:val="18"/>
              </w:rPr>
              <w:t>数据来源（如：在线监测或</w:t>
            </w:r>
          </w:p>
          <w:p w14:paraId="0E363C02">
            <w:pPr>
              <w:snapToGrid w:val="0"/>
              <w:spacing w:line="276" w:lineRule="auto"/>
              <w:jc w:val="center"/>
              <w:rPr>
                <w:sz w:val="18"/>
                <w:szCs w:val="18"/>
              </w:rPr>
            </w:pPr>
            <w:r>
              <w:rPr>
                <w:sz w:val="18"/>
                <w:szCs w:val="18"/>
              </w:rPr>
              <w:t>定期环境检测报告）</w:t>
            </w:r>
          </w:p>
        </w:tc>
        <w:tc>
          <w:tcPr>
            <w:tcW w:w="1321" w:type="pct"/>
            <w:gridSpan w:val="5"/>
            <w:tcBorders>
              <w:top w:val="single" w:color="auto" w:sz="4" w:space="0"/>
              <w:left w:val="single" w:color="auto" w:sz="4" w:space="0"/>
              <w:bottom w:val="single" w:color="auto" w:sz="4" w:space="0"/>
              <w:right w:val="single" w:color="auto" w:sz="4" w:space="0"/>
            </w:tcBorders>
            <w:noWrap w:val="0"/>
            <w:vAlign w:val="center"/>
          </w:tcPr>
          <w:p w14:paraId="2BE7D90E">
            <w:pPr>
              <w:snapToGrid w:val="0"/>
              <w:spacing w:line="276" w:lineRule="auto"/>
              <w:jc w:val="center"/>
              <w:rPr>
                <w:sz w:val="18"/>
                <w:szCs w:val="18"/>
              </w:rPr>
            </w:pPr>
            <w:r>
              <w:rPr>
                <w:sz w:val="18"/>
                <w:szCs w:val="18"/>
              </w:rPr>
              <w:t>详细情况说明</w:t>
            </w:r>
          </w:p>
        </w:tc>
      </w:tr>
      <w:tr w14:paraId="0066B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16" w:type="pct"/>
            <w:vMerge w:val="continue"/>
            <w:tcBorders>
              <w:left w:val="single" w:color="auto" w:sz="4" w:space="0"/>
              <w:right w:val="single" w:color="auto" w:sz="4" w:space="0"/>
            </w:tcBorders>
            <w:noWrap w:val="0"/>
            <w:vAlign w:val="center"/>
          </w:tcPr>
          <w:p w14:paraId="30B806F5">
            <w:pPr>
              <w:snapToGrid w:val="0"/>
              <w:spacing w:line="276" w:lineRule="auto"/>
              <w:jc w:val="center"/>
              <w:rPr>
                <w:sz w:val="18"/>
                <w:szCs w:val="18"/>
              </w:rPr>
            </w:pPr>
          </w:p>
        </w:tc>
        <w:tc>
          <w:tcPr>
            <w:tcW w:w="438" w:type="pct"/>
            <w:gridSpan w:val="2"/>
            <w:vMerge w:val="restart"/>
            <w:tcBorders>
              <w:top w:val="single" w:color="auto" w:sz="4" w:space="0"/>
              <w:left w:val="single" w:color="auto" w:sz="4" w:space="0"/>
            </w:tcBorders>
            <w:noWrap w:val="0"/>
            <w:vAlign w:val="center"/>
          </w:tcPr>
          <w:p w14:paraId="188D0111">
            <w:pPr>
              <w:snapToGrid w:val="0"/>
              <w:spacing w:line="276" w:lineRule="auto"/>
              <w:jc w:val="center"/>
              <w:rPr>
                <w:sz w:val="18"/>
                <w:szCs w:val="18"/>
              </w:rPr>
            </w:pPr>
            <w:r>
              <w:rPr>
                <w:sz w:val="18"/>
                <w:szCs w:val="18"/>
              </w:rPr>
              <w:t>大气</w:t>
            </w:r>
          </w:p>
          <w:p w14:paraId="23630699">
            <w:pPr>
              <w:snapToGrid w:val="0"/>
              <w:spacing w:line="276" w:lineRule="auto"/>
              <w:jc w:val="center"/>
              <w:rPr>
                <w:sz w:val="18"/>
                <w:szCs w:val="18"/>
              </w:rPr>
            </w:pPr>
            <w:r>
              <w:rPr>
                <w:sz w:val="18"/>
                <w:szCs w:val="18"/>
              </w:rPr>
              <w:t>排放</w:t>
            </w:r>
          </w:p>
        </w:tc>
        <w:tc>
          <w:tcPr>
            <w:tcW w:w="731" w:type="pct"/>
            <w:gridSpan w:val="2"/>
            <w:tcBorders>
              <w:top w:val="single" w:color="auto" w:sz="4" w:space="0"/>
            </w:tcBorders>
            <w:noWrap w:val="0"/>
            <w:vAlign w:val="center"/>
          </w:tcPr>
          <w:p w14:paraId="16C95C51">
            <w:pPr>
              <w:snapToGrid w:val="0"/>
              <w:spacing w:line="276" w:lineRule="auto"/>
              <w:jc w:val="center"/>
              <w:rPr>
                <w:sz w:val="18"/>
                <w:szCs w:val="18"/>
              </w:rPr>
            </w:pPr>
            <w:r>
              <w:rPr>
                <w:sz w:val="18"/>
                <w:szCs w:val="18"/>
              </w:rPr>
              <w:t>二氧化碳</w:t>
            </w:r>
          </w:p>
        </w:tc>
        <w:tc>
          <w:tcPr>
            <w:tcW w:w="353" w:type="pct"/>
            <w:gridSpan w:val="2"/>
            <w:tcBorders>
              <w:top w:val="single" w:color="auto" w:sz="4" w:space="0"/>
            </w:tcBorders>
            <w:noWrap w:val="0"/>
            <w:vAlign w:val="center"/>
          </w:tcPr>
          <w:p w14:paraId="54D87A20">
            <w:pPr>
              <w:snapToGrid w:val="0"/>
              <w:spacing w:line="276" w:lineRule="auto"/>
              <w:jc w:val="center"/>
              <w:rPr>
                <w:sz w:val="18"/>
                <w:szCs w:val="18"/>
              </w:rPr>
            </w:pPr>
          </w:p>
        </w:tc>
        <w:tc>
          <w:tcPr>
            <w:tcW w:w="528" w:type="pct"/>
            <w:gridSpan w:val="3"/>
            <w:tcBorders>
              <w:top w:val="single" w:color="auto" w:sz="4" w:space="0"/>
            </w:tcBorders>
            <w:noWrap w:val="0"/>
            <w:vAlign w:val="center"/>
          </w:tcPr>
          <w:p w14:paraId="48E77151">
            <w:pPr>
              <w:snapToGrid w:val="0"/>
              <w:spacing w:line="276" w:lineRule="auto"/>
              <w:jc w:val="center"/>
              <w:rPr>
                <w:sz w:val="18"/>
                <w:szCs w:val="18"/>
              </w:rPr>
            </w:pPr>
            <w:r>
              <w:rPr>
                <w:sz w:val="18"/>
                <w:szCs w:val="18"/>
              </w:rPr>
              <w:t>t</w:t>
            </w:r>
          </w:p>
        </w:tc>
        <w:tc>
          <w:tcPr>
            <w:tcW w:w="1209" w:type="pct"/>
            <w:gridSpan w:val="4"/>
            <w:tcBorders>
              <w:top w:val="single" w:color="auto" w:sz="4" w:space="0"/>
            </w:tcBorders>
            <w:noWrap w:val="0"/>
            <w:vAlign w:val="center"/>
          </w:tcPr>
          <w:p w14:paraId="204FD931">
            <w:pPr>
              <w:snapToGrid w:val="0"/>
              <w:spacing w:line="276" w:lineRule="auto"/>
              <w:jc w:val="center"/>
              <w:rPr>
                <w:sz w:val="18"/>
                <w:szCs w:val="18"/>
              </w:rPr>
            </w:pPr>
          </w:p>
        </w:tc>
        <w:tc>
          <w:tcPr>
            <w:tcW w:w="1321" w:type="pct"/>
            <w:gridSpan w:val="5"/>
            <w:tcBorders>
              <w:top w:val="single" w:color="auto" w:sz="4" w:space="0"/>
            </w:tcBorders>
            <w:noWrap w:val="0"/>
            <w:vAlign w:val="center"/>
          </w:tcPr>
          <w:p w14:paraId="3CC8BE97">
            <w:pPr>
              <w:snapToGrid w:val="0"/>
              <w:spacing w:line="276" w:lineRule="auto"/>
              <w:jc w:val="center"/>
              <w:rPr>
                <w:sz w:val="18"/>
                <w:szCs w:val="18"/>
              </w:rPr>
            </w:pPr>
          </w:p>
        </w:tc>
      </w:tr>
      <w:tr w14:paraId="692B7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16" w:type="pct"/>
            <w:vMerge w:val="continue"/>
            <w:tcBorders>
              <w:left w:val="single" w:color="auto" w:sz="4" w:space="0"/>
              <w:right w:val="single" w:color="auto" w:sz="4" w:space="0"/>
            </w:tcBorders>
            <w:noWrap w:val="0"/>
            <w:vAlign w:val="center"/>
          </w:tcPr>
          <w:p w14:paraId="415A9A95">
            <w:pPr>
              <w:pStyle w:val="27"/>
              <w:snapToGrid w:val="0"/>
              <w:spacing w:line="276" w:lineRule="auto"/>
              <w:ind w:firstLine="0" w:firstLineChars="0"/>
              <w:jc w:val="center"/>
              <w:rPr>
                <w:rFonts w:ascii="Times New Roman"/>
                <w:sz w:val="18"/>
                <w:szCs w:val="18"/>
              </w:rPr>
            </w:pPr>
          </w:p>
        </w:tc>
        <w:tc>
          <w:tcPr>
            <w:tcW w:w="438" w:type="pct"/>
            <w:gridSpan w:val="2"/>
            <w:vMerge w:val="continue"/>
            <w:tcBorders>
              <w:left w:val="single" w:color="auto" w:sz="4" w:space="0"/>
            </w:tcBorders>
            <w:noWrap w:val="0"/>
            <w:vAlign w:val="center"/>
          </w:tcPr>
          <w:p w14:paraId="3D3A7585">
            <w:pPr>
              <w:pStyle w:val="27"/>
              <w:snapToGrid w:val="0"/>
              <w:spacing w:line="276" w:lineRule="auto"/>
              <w:ind w:firstLine="0" w:firstLineChars="0"/>
              <w:jc w:val="center"/>
              <w:rPr>
                <w:rFonts w:ascii="Times New Roman"/>
                <w:sz w:val="18"/>
                <w:szCs w:val="18"/>
              </w:rPr>
            </w:pPr>
          </w:p>
        </w:tc>
        <w:tc>
          <w:tcPr>
            <w:tcW w:w="731" w:type="pct"/>
            <w:gridSpan w:val="2"/>
            <w:noWrap w:val="0"/>
            <w:vAlign w:val="center"/>
          </w:tcPr>
          <w:p w14:paraId="59212BD6">
            <w:pPr>
              <w:pStyle w:val="27"/>
              <w:snapToGrid w:val="0"/>
              <w:spacing w:line="276" w:lineRule="auto"/>
              <w:ind w:firstLine="0" w:firstLineChars="0"/>
              <w:jc w:val="center"/>
              <w:rPr>
                <w:rFonts w:ascii="Times New Roman"/>
                <w:sz w:val="18"/>
                <w:szCs w:val="18"/>
                <w:u w:val="single"/>
              </w:rPr>
            </w:pPr>
            <w:r>
              <w:rPr>
                <w:rFonts w:ascii="Times New Roman"/>
                <w:sz w:val="18"/>
                <w:szCs w:val="18"/>
              </w:rPr>
              <w:t>……</w:t>
            </w:r>
          </w:p>
        </w:tc>
        <w:tc>
          <w:tcPr>
            <w:tcW w:w="353" w:type="pct"/>
            <w:gridSpan w:val="2"/>
            <w:noWrap w:val="0"/>
            <w:vAlign w:val="center"/>
          </w:tcPr>
          <w:p w14:paraId="3D2561D1">
            <w:pPr>
              <w:pStyle w:val="27"/>
              <w:snapToGrid w:val="0"/>
              <w:spacing w:line="276" w:lineRule="auto"/>
              <w:ind w:firstLine="360"/>
              <w:jc w:val="center"/>
              <w:rPr>
                <w:rFonts w:ascii="Times New Roman"/>
                <w:sz w:val="18"/>
                <w:szCs w:val="18"/>
              </w:rPr>
            </w:pPr>
          </w:p>
        </w:tc>
        <w:tc>
          <w:tcPr>
            <w:tcW w:w="528" w:type="pct"/>
            <w:gridSpan w:val="3"/>
            <w:noWrap w:val="0"/>
            <w:vAlign w:val="center"/>
          </w:tcPr>
          <w:p w14:paraId="372378C7">
            <w:pPr>
              <w:snapToGrid w:val="0"/>
              <w:spacing w:line="276" w:lineRule="auto"/>
              <w:jc w:val="center"/>
              <w:rPr>
                <w:sz w:val="18"/>
                <w:szCs w:val="18"/>
              </w:rPr>
            </w:pPr>
            <w:r>
              <w:rPr>
                <w:sz w:val="18"/>
                <w:szCs w:val="18"/>
              </w:rPr>
              <w:t>t</w:t>
            </w:r>
          </w:p>
        </w:tc>
        <w:tc>
          <w:tcPr>
            <w:tcW w:w="1209" w:type="pct"/>
            <w:gridSpan w:val="4"/>
            <w:noWrap w:val="0"/>
            <w:vAlign w:val="center"/>
          </w:tcPr>
          <w:p w14:paraId="0A5B7A3B">
            <w:pPr>
              <w:snapToGrid w:val="0"/>
              <w:spacing w:line="276" w:lineRule="auto"/>
              <w:jc w:val="center"/>
              <w:rPr>
                <w:sz w:val="18"/>
                <w:szCs w:val="18"/>
              </w:rPr>
            </w:pPr>
          </w:p>
        </w:tc>
        <w:tc>
          <w:tcPr>
            <w:tcW w:w="1321" w:type="pct"/>
            <w:gridSpan w:val="5"/>
            <w:noWrap w:val="0"/>
            <w:vAlign w:val="center"/>
          </w:tcPr>
          <w:p w14:paraId="39B46538">
            <w:pPr>
              <w:snapToGrid w:val="0"/>
              <w:spacing w:line="276" w:lineRule="auto"/>
              <w:jc w:val="center"/>
              <w:rPr>
                <w:sz w:val="18"/>
                <w:szCs w:val="18"/>
              </w:rPr>
            </w:pPr>
          </w:p>
        </w:tc>
      </w:tr>
      <w:tr w14:paraId="151D9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16" w:type="pct"/>
            <w:vMerge w:val="continue"/>
            <w:tcBorders>
              <w:left w:val="single" w:color="auto" w:sz="4" w:space="0"/>
              <w:right w:val="single" w:color="auto" w:sz="4" w:space="0"/>
            </w:tcBorders>
            <w:noWrap w:val="0"/>
            <w:vAlign w:val="center"/>
          </w:tcPr>
          <w:p w14:paraId="38953C00">
            <w:pPr>
              <w:snapToGrid w:val="0"/>
              <w:spacing w:line="276" w:lineRule="auto"/>
              <w:jc w:val="center"/>
              <w:rPr>
                <w:sz w:val="18"/>
                <w:szCs w:val="18"/>
              </w:rPr>
            </w:pPr>
          </w:p>
        </w:tc>
        <w:tc>
          <w:tcPr>
            <w:tcW w:w="438" w:type="pct"/>
            <w:gridSpan w:val="2"/>
            <w:tcBorders>
              <w:left w:val="single" w:color="auto" w:sz="4" w:space="0"/>
            </w:tcBorders>
            <w:noWrap w:val="0"/>
            <w:vAlign w:val="center"/>
          </w:tcPr>
          <w:p w14:paraId="4B4D7EC5">
            <w:pPr>
              <w:snapToGrid w:val="0"/>
              <w:spacing w:line="276" w:lineRule="auto"/>
              <w:jc w:val="center"/>
              <w:rPr>
                <w:sz w:val="18"/>
                <w:szCs w:val="18"/>
              </w:rPr>
            </w:pPr>
            <w:r>
              <w:rPr>
                <w:sz w:val="18"/>
                <w:szCs w:val="18"/>
              </w:rPr>
              <w:t>固体废物排放</w:t>
            </w:r>
          </w:p>
        </w:tc>
        <w:tc>
          <w:tcPr>
            <w:tcW w:w="731" w:type="pct"/>
            <w:gridSpan w:val="2"/>
            <w:tcBorders>
              <w:left w:val="single" w:color="auto" w:sz="4" w:space="0"/>
            </w:tcBorders>
            <w:noWrap w:val="0"/>
            <w:vAlign w:val="center"/>
          </w:tcPr>
          <w:p w14:paraId="606DCF41">
            <w:pPr>
              <w:snapToGrid w:val="0"/>
              <w:spacing w:line="276" w:lineRule="auto"/>
              <w:jc w:val="left"/>
              <w:rPr>
                <w:sz w:val="18"/>
                <w:szCs w:val="18"/>
              </w:rPr>
            </w:pPr>
          </w:p>
        </w:tc>
        <w:tc>
          <w:tcPr>
            <w:tcW w:w="353" w:type="pct"/>
            <w:gridSpan w:val="2"/>
            <w:noWrap w:val="0"/>
            <w:vAlign w:val="center"/>
          </w:tcPr>
          <w:p w14:paraId="4E7108C4">
            <w:pPr>
              <w:snapToGrid w:val="0"/>
              <w:spacing w:line="276" w:lineRule="auto"/>
              <w:jc w:val="center"/>
              <w:rPr>
                <w:sz w:val="18"/>
                <w:szCs w:val="18"/>
              </w:rPr>
            </w:pPr>
          </w:p>
        </w:tc>
        <w:tc>
          <w:tcPr>
            <w:tcW w:w="528" w:type="pct"/>
            <w:gridSpan w:val="3"/>
            <w:noWrap w:val="0"/>
            <w:vAlign w:val="center"/>
          </w:tcPr>
          <w:p w14:paraId="6E4FB84F">
            <w:pPr>
              <w:snapToGrid w:val="0"/>
              <w:spacing w:line="276" w:lineRule="auto"/>
              <w:jc w:val="center"/>
              <w:rPr>
                <w:sz w:val="18"/>
                <w:szCs w:val="18"/>
              </w:rPr>
            </w:pPr>
          </w:p>
        </w:tc>
        <w:tc>
          <w:tcPr>
            <w:tcW w:w="1209" w:type="pct"/>
            <w:gridSpan w:val="4"/>
            <w:noWrap w:val="0"/>
            <w:vAlign w:val="center"/>
          </w:tcPr>
          <w:p w14:paraId="45659ACD">
            <w:pPr>
              <w:snapToGrid w:val="0"/>
              <w:spacing w:line="276" w:lineRule="auto"/>
              <w:jc w:val="center"/>
              <w:rPr>
                <w:sz w:val="18"/>
                <w:szCs w:val="18"/>
              </w:rPr>
            </w:pPr>
          </w:p>
        </w:tc>
        <w:tc>
          <w:tcPr>
            <w:tcW w:w="1321" w:type="pct"/>
            <w:gridSpan w:val="5"/>
            <w:tcBorders>
              <w:right w:val="single" w:color="auto" w:sz="4" w:space="0"/>
            </w:tcBorders>
            <w:noWrap w:val="0"/>
            <w:vAlign w:val="center"/>
          </w:tcPr>
          <w:p w14:paraId="29AF5BA3">
            <w:pPr>
              <w:snapToGrid w:val="0"/>
              <w:spacing w:line="276" w:lineRule="auto"/>
              <w:jc w:val="center"/>
              <w:rPr>
                <w:sz w:val="18"/>
                <w:szCs w:val="18"/>
              </w:rPr>
            </w:pPr>
          </w:p>
        </w:tc>
      </w:tr>
      <w:tr w14:paraId="0C14B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000" w:type="pct"/>
            <w:gridSpan w:val="19"/>
            <w:tcBorders>
              <w:left w:val="single" w:color="auto" w:sz="4" w:space="0"/>
              <w:right w:val="single" w:color="auto" w:sz="4" w:space="0"/>
            </w:tcBorders>
            <w:shd w:val="clear" w:color="auto" w:fill="BEBEBE"/>
            <w:noWrap w:val="0"/>
            <w:vAlign w:val="center"/>
          </w:tcPr>
          <w:p w14:paraId="67F0D9CD">
            <w:pPr>
              <w:snapToGrid w:val="0"/>
              <w:spacing w:line="276" w:lineRule="auto"/>
              <w:jc w:val="left"/>
              <w:rPr>
                <w:b/>
                <w:bCs/>
                <w:sz w:val="18"/>
                <w:szCs w:val="18"/>
              </w:rPr>
            </w:pPr>
            <w:r>
              <w:rPr>
                <w:b/>
                <w:bCs/>
                <w:sz w:val="18"/>
                <w:szCs w:val="18"/>
              </w:rPr>
              <w:t>产品</w:t>
            </w:r>
            <w:r>
              <w:rPr>
                <w:rFonts w:hint="eastAsia"/>
                <w:b/>
                <w:bCs/>
                <w:sz w:val="18"/>
                <w:szCs w:val="18"/>
                <w:lang w:val="en-US" w:eastAsia="zh-CN"/>
              </w:rPr>
              <w:t>分销</w:t>
            </w:r>
            <w:r>
              <w:rPr>
                <w:b/>
                <w:bCs/>
                <w:sz w:val="18"/>
                <w:szCs w:val="18"/>
              </w:rPr>
              <w:t>阶段（C）</w:t>
            </w:r>
          </w:p>
        </w:tc>
      </w:tr>
      <w:tr w14:paraId="15F76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32" w:type="pct"/>
            <w:gridSpan w:val="2"/>
            <w:vMerge w:val="restart"/>
            <w:tcBorders>
              <w:left w:val="single" w:color="auto" w:sz="4" w:space="0"/>
            </w:tcBorders>
            <w:noWrap w:val="0"/>
            <w:vAlign w:val="center"/>
          </w:tcPr>
          <w:p w14:paraId="0B8BB758">
            <w:pPr>
              <w:snapToGrid w:val="0"/>
              <w:spacing w:line="276" w:lineRule="auto"/>
              <w:jc w:val="center"/>
              <w:rPr>
                <w:sz w:val="18"/>
                <w:szCs w:val="18"/>
              </w:rPr>
            </w:pPr>
            <w:r>
              <w:rPr>
                <w:sz w:val="18"/>
                <w:szCs w:val="18"/>
              </w:rPr>
              <w:t>销售过程</w:t>
            </w:r>
          </w:p>
        </w:tc>
        <w:tc>
          <w:tcPr>
            <w:tcW w:w="1525" w:type="pct"/>
            <w:gridSpan w:val="7"/>
            <w:tcBorders>
              <w:left w:val="single" w:color="auto" w:sz="4" w:space="0"/>
            </w:tcBorders>
            <w:noWrap w:val="0"/>
            <w:vAlign w:val="center"/>
          </w:tcPr>
          <w:p w14:paraId="1AF3B39B">
            <w:pPr>
              <w:snapToGrid w:val="0"/>
              <w:spacing w:line="276" w:lineRule="auto"/>
              <w:jc w:val="center"/>
              <w:rPr>
                <w:sz w:val="18"/>
                <w:szCs w:val="18"/>
              </w:rPr>
            </w:pPr>
            <w:r>
              <w:rPr>
                <w:sz w:val="18"/>
                <w:szCs w:val="18"/>
              </w:rPr>
              <w:t>项目</w:t>
            </w:r>
          </w:p>
        </w:tc>
        <w:tc>
          <w:tcPr>
            <w:tcW w:w="1421" w:type="pct"/>
            <w:gridSpan w:val="5"/>
            <w:tcBorders>
              <w:left w:val="single" w:color="auto" w:sz="4" w:space="0"/>
            </w:tcBorders>
            <w:noWrap w:val="0"/>
            <w:vAlign w:val="center"/>
          </w:tcPr>
          <w:p w14:paraId="6E8B7593">
            <w:pPr>
              <w:snapToGrid w:val="0"/>
              <w:spacing w:line="276" w:lineRule="auto"/>
              <w:jc w:val="center"/>
              <w:rPr>
                <w:sz w:val="18"/>
                <w:szCs w:val="18"/>
              </w:rPr>
            </w:pPr>
            <w:r>
              <w:rPr>
                <w:sz w:val="18"/>
                <w:szCs w:val="18"/>
              </w:rPr>
              <w:t>运输方式（汽运、火车或船运）</w:t>
            </w:r>
          </w:p>
        </w:tc>
        <w:tc>
          <w:tcPr>
            <w:tcW w:w="630" w:type="pct"/>
            <w:gridSpan w:val="4"/>
            <w:noWrap w:val="0"/>
            <w:vAlign w:val="center"/>
          </w:tcPr>
          <w:p w14:paraId="13566CC9">
            <w:pPr>
              <w:snapToGrid w:val="0"/>
              <w:spacing w:line="276" w:lineRule="auto"/>
              <w:jc w:val="center"/>
              <w:rPr>
                <w:sz w:val="18"/>
                <w:szCs w:val="18"/>
              </w:rPr>
            </w:pPr>
            <w:r>
              <w:rPr>
                <w:sz w:val="18"/>
                <w:szCs w:val="18"/>
              </w:rPr>
              <w:t>运输距离/km</w:t>
            </w:r>
          </w:p>
        </w:tc>
        <w:tc>
          <w:tcPr>
            <w:tcW w:w="690" w:type="pct"/>
            <w:tcBorders>
              <w:right w:val="single" w:color="auto" w:sz="4" w:space="0"/>
            </w:tcBorders>
            <w:noWrap w:val="0"/>
            <w:vAlign w:val="center"/>
          </w:tcPr>
          <w:p w14:paraId="234FA42B">
            <w:pPr>
              <w:snapToGrid w:val="0"/>
              <w:spacing w:line="276" w:lineRule="auto"/>
              <w:jc w:val="center"/>
              <w:rPr>
                <w:sz w:val="18"/>
                <w:szCs w:val="18"/>
              </w:rPr>
            </w:pPr>
            <w:r>
              <w:rPr>
                <w:sz w:val="18"/>
                <w:szCs w:val="18"/>
              </w:rPr>
              <w:t>运输量</w:t>
            </w:r>
          </w:p>
        </w:tc>
      </w:tr>
      <w:tr w14:paraId="29966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32" w:type="pct"/>
            <w:gridSpan w:val="2"/>
            <w:vMerge w:val="continue"/>
            <w:tcBorders>
              <w:left w:val="single" w:color="auto" w:sz="4" w:space="0"/>
            </w:tcBorders>
            <w:noWrap w:val="0"/>
            <w:vAlign w:val="center"/>
          </w:tcPr>
          <w:p w14:paraId="4F1DC62A">
            <w:pPr>
              <w:snapToGrid w:val="0"/>
              <w:spacing w:line="276" w:lineRule="auto"/>
              <w:jc w:val="center"/>
              <w:rPr>
                <w:sz w:val="18"/>
                <w:szCs w:val="18"/>
              </w:rPr>
            </w:pPr>
          </w:p>
        </w:tc>
        <w:tc>
          <w:tcPr>
            <w:tcW w:w="1525" w:type="pct"/>
            <w:gridSpan w:val="7"/>
            <w:tcBorders>
              <w:left w:val="single" w:color="auto" w:sz="4" w:space="0"/>
            </w:tcBorders>
            <w:noWrap w:val="0"/>
            <w:vAlign w:val="center"/>
          </w:tcPr>
          <w:p w14:paraId="3FBD881B">
            <w:pPr>
              <w:snapToGrid w:val="0"/>
              <w:spacing w:line="276" w:lineRule="auto"/>
              <w:jc w:val="center"/>
              <w:rPr>
                <w:sz w:val="18"/>
                <w:szCs w:val="18"/>
              </w:rPr>
            </w:pPr>
            <w:r>
              <w:rPr>
                <w:sz w:val="18"/>
                <w:szCs w:val="18"/>
              </w:rPr>
              <w:t>从工厂到总经销商</w:t>
            </w:r>
          </w:p>
        </w:tc>
        <w:tc>
          <w:tcPr>
            <w:tcW w:w="1421" w:type="pct"/>
            <w:gridSpan w:val="5"/>
            <w:tcBorders>
              <w:left w:val="single" w:color="auto" w:sz="4" w:space="0"/>
            </w:tcBorders>
            <w:noWrap w:val="0"/>
            <w:vAlign w:val="center"/>
          </w:tcPr>
          <w:p w14:paraId="665534BF">
            <w:pPr>
              <w:snapToGrid w:val="0"/>
              <w:spacing w:line="276" w:lineRule="auto"/>
              <w:jc w:val="center"/>
              <w:rPr>
                <w:sz w:val="18"/>
                <w:szCs w:val="18"/>
              </w:rPr>
            </w:pPr>
          </w:p>
        </w:tc>
        <w:tc>
          <w:tcPr>
            <w:tcW w:w="630" w:type="pct"/>
            <w:gridSpan w:val="4"/>
            <w:noWrap w:val="0"/>
            <w:vAlign w:val="center"/>
          </w:tcPr>
          <w:p w14:paraId="50B14C77">
            <w:pPr>
              <w:snapToGrid w:val="0"/>
              <w:spacing w:line="276" w:lineRule="auto"/>
              <w:jc w:val="center"/>
              <w:rPr>
                <w:sz w:val="18"/>
                <w:szCs w:val="18"/>
              </w:rPr>
            </w:pPr>
          </w:p>
        </w:tc>
        <w:tc>
          <w:tcPr>
            <w:tcW w:w="690" w:type="pct"/>
            <w:tcBorders>
              <w:right w:val="single" w:color="auto" w:sz="4" w:space="0"/>
            </w:tcBorders>
            <w:noWrap w:val="0"/>
            <w:vAlign w:val="center"/>
          </w:tcPr>
          <w:p w14:paraId="3E064CE8">
            <w:pPr>
              <w:snapToGrid w:val="0"/>
              <w:spacing w:line="276" w:lineRule="auto"/>
              <w:jc w:val="center"/>
              <w:rPr>
                <w:sz w:val="18"/>
                <w:szCs w:val="18"/>
              </w:rPr>
            </w:pPr>
          </w:p>
        </w:tc>
      </w:tr>
      <w:tr w14:paraId="7675D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32" w:type="pct"/>
            <w:gridSpan w:val="2"/>
            <w:vMerge w:val="continue"/>
            <w:tcBorders>
              <w:left w:val="single" w:color="auto" w:sz="4" w:space="0"/>
            </w:tcBorders>
            <w:noWrap w:val="0"/>
            <w:vAlign w:val="center"/>
          </w:tcPr>
          <w:p w14:paraId="1821A08E">
            <w:pPr>
              <w:snapToGrid w:val="0"/>
              <w:spacing w:line="276" w:lineRule="auto"/>
              <w:jc w:val="center"/>
              <w:rPr>
                <w:sz w:val="18"/>
                <w:szCs w:val="18"/>
              </w:rPr>
            </w:pPr>
          </w:p>
        </w:tc>
        <w:tc>
          <w:tcPr>
            <w:tcW w:w="1525" w:type="pct"/>
            <w:gridSpan w:val="7"/>
            <w:tcBorders>
              <w:left w:val="single" w:color="auto" w:sz="4" w:space="0"/>
            </w:tcBorders>
            <w:noWrap w:val="0"/>
            <w:vAlign w:val="center"/>
          </w:tcPr>
          <w:p w14:paraId="7B93610F">
            <w:pPr>
              <w:snapToGrid w:val="0"/>
              <w:spacing w:line="276" w:lineRule="auto"/>
              <w:jc w:val="center"/>
              <w:rPr>
                <w:sz w:val="18"/>
                <w:szCs w:val="18"/>
              </w:rPr>
            </w:pPr>
            <w:r>
              <w:rPr>
                <w:sz w:val="18"/>
                <w:szCs w:val="18"/>
              </w:rPr>
              <w:t>从总经销商到分经销商</w:t>
            </w:r>
          </w:p>
        </w:tc>
        <w:tc>
          <w:tcPr>
            <w:tcW w:w="1421" w:type="pct"/>
            <w:gridSpan w:val="5"/>
            <w:tcBorders>
              <w:left w:val="single" w:color="auto" w:sz="4" w:space="0"/>
            </w:tcBorders>
            <w:noWrap w:val="0"/>
            <w:vAlign w:val="center"/>
          </w:tcPr>
          <w:p w14:paraId="131E0B22">
            <w:pPr>
              <w:snapToGrid w:val="0"/>
              <w:spacing w:line="276" w:lineRule="auto"/>
              <w:jc w:val="center"/>
              <w:rPr>
                <w:sz w:val="18"/>
                <w:szCs w:val="18"/>
              </w:rPr>
            </w:pPr>
          </w:p>
        </w:tc>
        <w:tc>
          <w:tcPr>
            <w:tcW w:w="630" w:type="pct"/>
            <w:gridSpan w:val="4"/>
            <w:noWrap w:val="0"/>
            <w:vAlign w:val="center"/>
          </w:tcPr>
          <w:p w14:paraId="39848A2A">
            <w:pPr>
              <w:snapToGrid w:val="0"/>
              <w:spacing w:line="276" w:lineRule="auto"/>
              <w:jc w:val="center"/>
              <w:rPr>
                <w:sz w:val="18"/>
                <w:szCs w:val="18"/>
              </w:rPr>
            </w:pPr>
          </w:p>
        </w:tc>
        <w:tc>
          <w:tcPr>
            <w:tcW w:w="690" w:type="pct"/>
            <w:tcBorders>
              <w:right w:val="single" w:color="auto" w:sz="4" w:space="0"/>
            </w:tcBorders>
            <w:noWrap w:val="0"/>
            <w:vAlign w:val="center"/>
          </w:tcPr>
          <w:p w14:paraId="31B9C554">
            <w:pPr>
              <w:snapToGrid w:val="0"/>
              <w:spacing w:line="276" w:lineRule="auto"/>
              <w:jc w:val="center"/>
              <w:rPr>
                <w:sz w:val="18"/>
                <w:szCs w:val="18"/>
              </w:rPr>
            </w:pPr>
          </w:p>
        </w:tc>
      </w:tr>
      <w:tr w14:paraId="5C751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32" w:type="pct"/>
            <w:gridSpan w:val="2"/>
            <w:vMerge w:val="continue"/>
            <w:tcBorders>
              <w:left w:val="single" w:color="auto" w:sz="4" w:space="0"/>
            </w:tcBorders>
            <w:noWrap w:val="0"/>
            <w:vAlign w:val="center"/>
          </w:tcPr>
          <w:p w14:paraId="3DBC1C12">
            <w:pPr>
              <w:snapToGrid w:val="0"/>
              <w:spacing w:line="276" w:lineRule="auto"/>
              <w:jc w:val="center"/>
              <w:rPr>
                <w:sz w:val="18"/>
                <w:szCs w:val="18"/>
              </w:rPr>
            </w:pPr>
          </w:p>
        </w:tc>
        <w:tc>
          <w:tcPr>
            <w:tcW w:w="1525" w:type="pct"/>
            <w:gridSpan w:val="7"/>
            <w:tcBorders>
              <w:left w:val="single" w:color="auto" w:sz="4" w:space="0"/>
            </w:tcBorders>
            <w:noWrap w:val="0"/>
            <w:vAlign w:val="center"/>
          </w:tcPr>
          <w:p w14:paraId="6748DCF9">
            <w:pPr>
              <w:snapToGrid w:val="0"/>
              <w:spacing w:line="276" w:lineRule="auto"/>
              <w:jc w:val="center"/>
              <w:rPr>
                <w:sz w:val="18"/>
                <w:szCs w:val="18"/>
              </w:rPr>
            </w:pPr>
            <w:r>
              <w:rPr>
                <w:sz w:val="18"/>
                <w:szCs w:val="18"/>
              </w:rPr>
              <w:t>从工厂到分经销商的总运输距离</w:t>
            </w:r>
          </w:p>
        </w:tc>
        <w:tc>
          <w:tcPr>
            <w:tcW w:w="1421" w:type="pct"/>
            <w:gridSpan w:val="5"/>
            <w:tcBorders>
              <w:left w:val="single" w:color="auto" w:sz="4" w:space="0"/>
            </w:tcBorders>
            <w:noWrap w:val="0"/>
            <w:vAlign w:val="center"/>
          </w:tcPr>
          <w:p w14:paraId="3FE513CE">
            <w:pPr>
              <w:snapToGrid w:val="0"/>
              <w:spacing w:line="276" w:lineRule="auto"/>
              <w:jc w:val="center"/>
              <w:rPr>
                <w:sz w:val="18"/>
                <w:szCs w:val="18"/>
              </w:rPr>
            </w:pPr>
          </w:p>
        </w:tc>
        <w:tc>
          <w:tcPr>
            <w:tcW w:w="630" w:type="pct"/>
            <w:gridSpan w:val="4"/>
            <w:noWrap w:val="0"/>
            <w:vAlign w:val="center"/>
          </w:tcPr>
          <w:p w14:paraId="7BD1264B">
            <w:pPr>
              <w:snapToGrid w:val="0"/>
              <w:spacing w:line="276" w:lineRule="auto"/>
              <w:jc w:val="center"/>
              <w:rPr>
                <w:sz w:val="18"/>
                <w:szCs w:val="18"/>
              </w:rPr>
            </w:pPr>
          </w:p>
        </w:tc>
        <w:tc>
          <w:tcPr>
            <w:tcW w:w="690" w:type="pct"/>
            <w:tcBorders>
              <w:right w:val="single" w:color="auto" w:sz="4" w:space="0"/>
            </w:tcBorders>
            <w:noWrap w:val="0"/>
            <w:vAlign w:val="center"/>
          </w:tcPr>
          <w:p w14:paraId="4D5B829A">
            <w:pPr>
              <w:snapToGrid w:val="0"/>
              <w:spacing w:line="276" w:lineRule="auto"/>
              <w:jc w:val="center"/>
              <w:rPr>
                <w:sz w:val="18"/>
                <w:szCs w:val="18"/>
              </w:rPr>
            </w:pPr>
          </w:p>
        </w:tc>
      </w:tr>
      <w:tr w14:paraId="4D1D4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32" w:type="pct"/>
            <w:gridSpan w:val="2"/>
            <w:vMerge w:val="restart"/>
            <w:tcBorders>
              <w:left w:val="single" w:color="auto" w:sz="4" w:space="0"/>
            </w:tcBorders>
            <w:noWrap w:val="0"/>
            <w:vAlign w:val="center"/>
          </w:tcPr>
          <w:p w14:paraId="3DE14233">
            <w:pPr>
              <w:snapToGrid w:val="0"/>
              <w:spacing w:line="276" w:lineRule="auto"/>
              <w:jc w:val="center"/>
              <w:rPr>
                <w:sz w:val="18"/>
                <w:szCs w:val="18"/>
              </w:rPr>
            </w:pPr>
            <w:r>
              <w:rPr>
                <w:sz w:val="18"/>
                <w:szCs w:val="18"/>
              </w:rPr>
              <w:t>仓储</w:t>
            </w:r>
          </w:p>
        </w:tc>
        <w:tc>
          <w:tcPr>
            <w:tcW w:w="1028" w:type="pct"/>
            <w:gridSpan w:val="4"/>
            <w:tcBorders>
              <w:left w:val="single" w:color="auto" w:sz="4" w:space="0"/>
              <w:right w:val="single" w:color="auto" w:sz="4" w:space="0"/>
            </w:tcBorders>
            <w:noWrap w:val="0"/>
            <w:vAlign w:val="center"/>
          </w:tcPr>
          <w:p w14:paraId="51F02350">
            <w:pPr>
              <w:snapToGrid w:val="0"/>
              <w:spacing w:line="276" w:lineRule="auto"/>
              <w:jc w:val="center"/>
              <w:rPr>
                <w:sz w:val="18"/>
                <w:szCs w:val="18"/>
              </w:rPr>
            </w:pPr>
            <w:r>
              <w:rPr>
                <w:sz w:val="18"/>
                <w:szCs w:val="18"/>
              </w:rPr>
              <w:t>仓储地点</w:t>
            </w:r>
          </w:p>
        </w:tc>
        <w:tc>
          <w:tcPr>
            <w:tcW w:w="850" w:type="pct"/>
            <w:gridSpan w:val="5"/>
            <w:tcBorders>
              <w:left w:val="single" w:color="auto" w:sz="4" w:space="0"/>
              <w:right w:val="single" w:color="auto" w:sz="4" w:space="0"/>
            </w:tcBorders>
            <w:noWrap w:val="0"/>
            <w:vAlign w:val="center"/>
          </w:tcPr>
          <w:p w14:paraId="4515690B">
            <w:pPr>
              <w:snapToGrid w:val="0"/>
              <w:spacing w:line="276" w:lineRule="auto"/>
              <w:jc w:val="center"/>
              <w:rPr>
                <w:sz w:val="18"/>
                <w:szCs w:val="18"/>
              </w:rPr>
            </w:pPr>
          </w:p>
        </w:tc>
        <w:tc>
          <w:tcPr>
            <w:tcW w:w="1259" w:type="pct"/>
            <w:gridSpan w:val="4"/>
            <w:tcBorders>
              <w:left w:val="single" w:color="auto" w:sz="4" w:space="0"/>
              <w:right w:val="single" w:color="auto" w:sz="4" w:space="0"/>
            </w:tcBorders>
            <w:noWrap w:val="0"/>
            <w:vAlign w:val="center"/>
          </w:tcPr>
          <w:p w14:paraId="2F5ADD5E">
            <w:pPr>
              <w:snapToGrid w:val="0"/>
              <w:spacing w:line="276" w:lineRule="auto"/>
              <w:jc w:val="center"/>
              <w:rPr>
                <w:sz w:val="18"/>
                <w:szCs w:val="18"/>
              </w:rPr>
            </w:pPr>
            <w:r>
              <w:rPr>
                <w:sz w:val="18"/>
                <w:szCs w:val="18"/>
              </w:rPr>
              <w:t>仓储时长（h/d）</w:t>
            </w:r>
          </w:p>
        </w:tc>
        <w:tc>
          <w:tcPr>
            <w:tcW w:w="1129" w:type="pct"/>
            <w:gridSpan w:val="4"/>
            <w:tcBorders>
              <w:left w:val="single" w:color="auto" w:sz="4" w:space="0"/>
              <w:right w:val="single" w:color="auto" w:sz="4" w:space="0"/>
            </w:tcBorders>
            <w:noWrap w:val="0"/>
            <w:vAlign w:val="center"/>
          </w:tcPr>
          <w:p w14:paraId="0CFA97E2">
            <w:pPr>
              <w:snapToGrid w:val="0"/>
              <w:spacing w:line="276" w:lineRule="auto"/>
              <w:jc w:val="center"/>
              <w:rPr>
                <w:sz w:val="18"/>
                <w:szCs w:val="18"/>
              </w:rPr>
            </w:pPr>
          </w:p>
        </w:tc>
      </w:tr>
      <w:tr w14:paraId="321EC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32" w:type="pct"/>
            <w:gridSpan w:val="2"/>
            <w:vMerge w:val="continue"/>
            <w:tcBorders>
              <w:left w:val="single" w:color="auto" w:sz="4" w:space="0"/>
            </w:tcBorders>
            <w:noWrap w:val="0"/>
            <w:vAlign w:val="center"/>
          </w:tcPr>
          <w:p w14:paraId="16615938">
            <w:pPr>
              <w:snapToGrid w:val="0"/>
              <w:spacing w:line="276" w:lineRule="auto"/>
              <w:jc w:val="center"/>
            </w:pPr>
          </w:p>
        </w:tc>
        <w:tc>
          <w:tcPr>
            <w:tcW w:w="1028" w:type="pct"/>
            <w:gridSpan w:val="4"/>
            <w:tcBorders>
              <w:left w:val="single" w:color="auto" w:sz="4" w:space="0"/>
              <w:right w:val="single" w:color="auto" w:sz="4" w:space="0"/>
            </w:tcBorders>
            <w:noWrap w:val="0"/>
            <w:vAlign w:val="center"/>
          </w:tcPr>
          <w:p w14:paraId="7E484A52">
            <w:pPr>
              <w:snapToGrid w:val="0"/>
              <w:spacing w:line="276" w:lineRule="auto"/>
              <w:jc w:val="center"/>
            </w:pPr>
            <w:r>
              <w:rPr>
                <w:sz w:val="18"/>
                <w:szCs w:val="18"/>
              </w:rPr>
              <w:t>能源消耗种类</w:t>
            </w:r>
          </w:p>
        </w:tc>
        <w:tc>
          <w:tcPr>
            <w:tcW w:w="850" w:type="pct"/>
            <w:gridSpan w:val="5"/>
            <w:tcBorders>
              <w:left w:val="single" w:color="auto" w:sz="4" w:space="0"/>
              <w:right w:val="single" w:color="auto" w:sz="4" w:space="0"/>
            </w:tcBorders>
            <w:noWrap w:val="0"/>
            <w:vAlign w:val="center"/>
          </w:tcPr>
          <w:p w14:paraId="0F9C99C6">
            <w:pPr>
              <w:snapToGrid w:val="0"/>
              <w:spacing w:line="276" w:lineRule="auto"/>
              <w:jc w:val="center"/>
            </w:pPr>
          </w:p>
        </w:tc>
        <w:tc>
          <w:tcPr>
            <w:tcW w:w="1259" w:type="pct"/>
            <w:gridSpan w:val="4"/>
            <w:tcBorders>
              <w:left w:val="single" w:color="auto" w:sz="4" w:space="0"/>
              <w:right w:val="single" w:color="auto" w:sz="4" w:space="0"/>
            </w:tcBorders>
            <w:noWrap w:val="0"/>
            <w:vAlign w:val="center"/>
          </w:tcPr>
          <w:p w14:paraId="269F1BB2">
            <w:pPr>
              <w:snapToGrid w:val="0"/>
              <w:spacing w:line="276" w:lineRule="auto"/>
              <w:jc w:val="center"/>
            </w:pPr>
            <w:r>
              <w:rPr>
                <w:sz w:val="18"/>
                <w:szCs w:val="18"/>
              </w:rPr>
              <w:t>能源消耗量</w:t>
            </w:r>
          </w:p>
        </w:tc>
        <w:tc>
          <w:tcPr>
            <w:tcW w:w="1129" w:type="pct"/>
            <w:gridSpan w:val="4"/>
            <w:tcBorders>
              <w:left w:val="single" w:color="auto" w:sz="4" w:space="0"/>
              <w:right w:val="single" w:color="auto" w:sz="4" w:space="0"/>
            </w:tcBorders>
            <w:noWrap w:val="0"/>
            <w:vAlign w:val="center"/>
          </w:tcPr>
          <w:p w14:paraId="6153770F">
            <w:pPr>
              <w:snapToGrid w:val="0"/>
              <w:spacing w:line="276" w:lineRule="auto"/>
              <w:jc w:val="center"/>
              <w:rPr>
                <w:sz w:val="18"/>
                <w:szCs w:val="18"/>
              </w:rPr>
            </w:pPr>
          </w:p>
        </w:tc>
      </w:tr>
      <w:tr w14:paraId="513E4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32" w:type="pct"/>
            <w:gridSpan w:val="2"/>
            <w:tcBorders>
              <w:left w:val="single" w:color="auto" w:sz="4" w:space="0"/>
            </w:tcBorders>
            <w:noWrap w:val="0"/>
            <w:vAlign w:val="center"/>
          </w:tcPr>
          <w:p w14:paraId="631DB6CB">
            <w:pPr>
              <w:snapToGrid w:val="0"/>
              <w:spacing w:line="276" w:lineRule="auto"/>
              <w:jc w:val="center"/>
            </w:pPr>
            <w:r>
              <w:rPr>
                <w:sz w:val="18"/>
                <w:szCs w:val="18"/>
              </w:rPr>
              <w:t>再包装</w:t>
            </w:r>
          </w:p>
        </w:tc>
        <w:tc>
          <w:tcPr>
            <w:tcW w:w="1028" w:type="pct"/>
            <w:gridSpan w:val="4"/>
            <w:tcBorders>
              <w:left w:val="single" w:color="auto" w:sz="4" w:space="0"/>
              <w:right w:val="single" w:color="auto" w:sz="4" w:space="0"/>
            </w:tcBorders>
            <w:noWrap w:val="0"/>
            <w:vAlign w:val="center"/>
          </w:tcPr>
          <w:p w14:paraId="66D5E784">
            <w:pPr>
              <w:snapToGrid w:val="0"/>
              <w:spacing w:line="276" w:lineRule="auto"/>
              <w:jc w:val="center"/>
              <w:rPr>
                <w:sz w:val="18"/>
                <w:szCs w:val="18"/>
              </w:rPr>
            </w:pPr>
            <w:r>
              <w:rPr>
                <w:sz w:val="18"/>
                <w:szCs w:val="18"/>
              </w:rPr>
              <w:t>包装材料种类</w:t>
            </w:r>
          </w:p>
        </w:tc>
        <w:tc>
          <w:tcPr>
            <w:tcW w:w="850" w:type="pct"/>
            <w:gridSpan w:val="5"/>
            <w:tcBorders>
              <w:left w:val="single" w:color="auto" w:sz="4" w:space="0"/>
              <w:right w:val="single" w:color="auto" w:sz="4" w:space="0"/>
            </w:tcBorders>
            <w:noWrap w:val="0"/>
            <w:vAlign w:val="center"/>
          </w:tcPr>
          <w:p w14:paraId="28A14596">
            <w:pPr>
              <w:snapToGrid w:val="0"/>
              <w:spacing w:line="276" w:lineRule="auto"/>
              <w:jc w:val="center"/>
            </w:pPr>
          </w:p>
        </w:tc>
        <w:tc>
          <w:tcPr>
            <w:tcW w:w="1259" w:type="pct"/>
            <w:gridSpan w:val="4"/>
            <w:tcBorders>
              <w:left w:val="single" w:color="auto" w:sz="4" w:space="0"/>
              <w:right w:val="single" w:color="auto" w:sz="4" w:space="0"/>
            </w:tcBorders>
            <w:noWrap w:val="0"/>
            <w:vAlign w:val="center"/>
          </w:tcPr>
          <w:p w14:paraId="2FAF9C44">
            <w:pPr>
              <w:snapToGrid w:val="0"/>
              <w:spacing w:line="276" w:lineRule="auto"/>
              <w:jc w:val="center"/>
              <w:rPr>
                <w:sz w:val="18"/>
                <w:szCs w:val="18"/>
              </w:rPr>
            </w:pPr>
            <w:r>
              <w:rPr>
                <w:sz w:val="18"/>
                <w:szCs w:val="18"/>
              </w:rPr>
              <w:t>功能单位下包装材料消耗量</w:t>
            </w:r>
          </w:p>
        </w:tc>
        <w:tc>
          <w:tcPr>
            <w:tcW w:w="1129" w:type="pct"/>
            <w:gridSpan w:val="4"/>
            <w:tcBorders>
              <w:left w:val="single" w:color="auto" w:sz="4" w:space="0"/>
              <w:right w:val="single" w:color="auto" w:sz="4" w:space="0"/>
            </w:tcBorders>
            <w:noWrap w:val="0"/>
            <w:vAlign w:val="center"/>
          </w:tcPr>
          <w:p w14:paraId="29B949F5">
            <w:pPr>
              <w:snapToGrid w:val="0"/>
              <w:spacing w:line="276" w:lineRule="auto"/>
              <w:jc w:val="center"/>
              <w:rPr>
                <w:sz w:val="18"/>
                <w:szCs w:val="18"/>
              </w:rPr>
            </w:pPr>
          </w:p>
        </w:tc>
      </w:tr>
      <w:tr w14:paraId="1DBD7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32" w:type="pct"/>
            <w:gridSpan w:val="2"/>
            <w:tcBorders>
              <w:left w:val="single" w:color="auto" w:sz="4" w:space="0"/>
            </w:tcBorders>
            <w:noWrap w:val="0"/>
            <w:vAlign w:val="center"/>
          </w:tcPr>
          <w:p w14:paraId="5EFFD9C6">
            <w:pPr>
              <w:snapToGrid w:val="0"/>
              <w:spacing w:line="276" w:lineRule="auto"/>
              <w:jc w:val="center"/>
              <w:rPr>
                <w:sz w:val="18"/>
                <w:szCs w:val="18"/>
              </w:rPr>
            </w:pPr>
            <w:r>
              <w:rPr>
                <w:sz w:val="18"/>
                <w:szCs w:val="18"/>
              </w:rPr>
              <w:t>环境排放</w:t>
            </w:r>
          </w:p>
        </w:tc>
        <w:tc>
          <w:tcPr>
            <w:tcW w:w="1028" w:type="pct"/>
            <w:gridSpan w:val="4"/>
            <w:tcBorders>
              <w:left w:val="single" w:color="auto" w:sz="4" w:space="0"/>
              <w:right w:val="single" w:color="auto" w:sz="4" w:space="0"/>
            </w:tcBorders>
            <w:noWrap w:val="0"/>
            <w:vAlign w:val="center"/>
          </w:tcPr>
          <w:p w14:paraId="43ACA475">
            <w:pPr>
              <w:snapToGrid w:val="0"/>
              <w:spacing w:line="276" w:lineRule="auto"/>
              <w:jc w:val="center"/>
              <w:rPr>
                <w:sz w:val="18"/>
                <w:szCs w:val="18"/>
              </w:rPr>
            </w:pPr>
            <w:r>
              <w:rPr>
                <w:sz w:val="18"/>
                <w:szCs w:val="18"/>
              </w:rPr>
              <w:t>温室气体直接排放量</w:t>
            </w:r>
          </w:p>
        </w:tc>
        <w:tc>
          <w:tcPr>
            <w:tcW w:w="850" w:type="pct"/>
            <w:gridSpan w:val="5"/>
            <w:tcBorders>
              <w:left w:val="single" w:color="auto" w:sz="4" w:space="0"/>
              <w:right w:val="single" w:color="auto" w:sz="4" w:space="0"/>
            </w:tcBorders>
            <w:noWrap w:val="0"/>
            <w:vAlign w:val="center"/>
          </w:tcPr>
          <w:p w14:paraId="0C0FAA31">
            <w:pPr>
              <w:snapToGrid w:val="0"/>
              <w:spacing w:line="276" w:lineRule="auto"/>
              <w:jc w:val="center"/>
              <w:rPr>
                <w:sz w:val="18"/>
                <w:szCs w:val="18"/>
              </w:rPr>
            </w:pPr>
          </w:p>
        </w:tc>
        <w:tc>
          <w:tcPr>
            <w:tcW w:w="1259" w:type="pct"/>
            <w:gridSpan w:val="4"/>
            <w:tcBorders>
              <w:left w:val="single" w:color="auto" w:sz="4" w:space="0"/>
              <w:right w:val="single" w:color="auto" w:sz="4" w:space="0"/>
            </w:tcBorders>
            <w:noWrap w:val="0"/>
            <w:vAlign w:val="center"/>
          </w:tcPr>
          <w:p w14:paraId="2FEE05A9">
            <w:pPr>
              <w:snapToGrid w:val="0"/>
              <w:spacing w:line="276" w:lineRule="auto"/>
              <w:jc w:val="center"/>
              <w:rPr>
                <w:sz w:val="18"/>
                <w:szCs w:val="18"/>
              </w:rPr>
            </w:pPr>
            <w:r>
              <w:rPr>
                <w:sz w:val="18"/>
                <w:szCs w:val="18"/>
              </w:rPr>
              <w:t>固体废物排放</w:t>
            </w:r>
          </w:p>
        </w:tc>
        <w:tc>
          <w:tcPr>
            <w:tcW w:w="1129" w:type="pct"/>
            <w:gridSpan w:val="4"/>
            <w:tcBorders>
              <w:left w:val="single" w:color="auto" w:sz="4" w:space="0"/>
              <w:right w:val="single" w:color="auto" w:sz="4" w:space="0"/>
            </w:tcBorders>
            <w:noWrap w:val="0"/>
            <w:vAlign w:val="center"/>
          </w:tcPr>
          <w:p w14:paraId="454909C4">
            <w:pPr>
              <w:snapToGrid w:val="0"/>
              <w:spacing w:line="276" w:lineRule="auto"/>
              <w:jc w:val="center"/>
              <w:rPr>
                <w:sz w:val="18"/>
                <w:szCs w:val="18"/>
              </w:rPr>
            </w:pPr>
          </w:p>
        </w:tc>
      </w:tr>
      <w:tr w14:paraId="74DA3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000" w:type="pct"/>
            <w:gridSpan w:val="19"/>
            <w:tcBorders>
              <w:left w:val="single" w:color="auto" w:sz="4" w:space="0"/>
              <w:right w:val="single" w:color="auto" w:sz="4" w:space="0"/>
            </w:tcBorders>
            <w:shd w:val="clear" w:color="auto" w:fill="BEBEBE"/>
            <w:noWrap w:val="0"/>
            <w:vAlign w:val="center"/>
          </w:tcPr>
          <w:p w14:paraId="445ED015">
            <w:pPr>
              <w:snapToGrid w:val="0"/>
              <w:spacing w:line="276" w:lineRule="auto"/>
              <w:jc w:val="left"/>
              <w:rPr>
                <w:sz w:val="18"/>
                <w:szCs w:val="18"/>
              </w:rPr>
            </w:pPr>
            <w:r>
              <w:rPr>
                <w:rFonts w:hint="eastAsia"/>
                <w:b/>
                <w:bCs/>
                <w:sz w:val="18"/>
                <w:szCs w:val="18"/>
                <w:lang w:val="en-US" w:eastAsia="zh-CN"/>
              </w:rPr>
              <w:t>施工及使用</w:t>
            </w:r>
            <w:r>
              <w:rPr>
                <w:b/>
                <w:bCs/>
                <w:sz w:val="18"/>
                <w:szCs w:val="18"/>
              </w:rPr>
              <w:t>阶段（</w:t>
            </w:r>
            <w:r>
              <w:rPr>
                <w:rFonts w:hint="eastAsia"/>
                <w:b/>
                <w:bCs/>
                <w:sz w:val="18"/>
                <w:szCs w:val="18"/>
                <w:lang w:val="en-US" w:eastAsia="zh-CN"/>
              </w:rPr>
              <w:t>D</w:t>
            </w:r>
            <w:r>
              <w:rPr>
                <w:b/>
                <w:bCs/>
                <w:sz w:val="18"/>
                <w:szCs w:val="18"/>
              </w:rPr>
              <w:t>）</w:t>
            </w:r>
          </w:p>
        </w:tc>
      </w:tr>
      <w:tr w14:paraId="7DB8F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32" w:type="pct"/>
            <w:gridSpan w:val="2"/>
            <w:vMerge w:val="restart"/>
            <w:tcBorders>
              <w:left w:val="single" w:color="auto" w:sz="4" w:space="0"/>
            </w:tcBorders>
            <w:noWrap w:val="0"/>
            <w:vAlign w:val="center"/>
          </w:tcPr>
          <w:p w14:paraId="6C94AEF4">
            <w:pPr>
              <w:snapToGrid w:val="0"/>
              <w:spacing w:line="276" w:lineRule="auto"/>
              <w:jc w:val="center"/>
              <w:rPr>
                <w:sz w:val="18"/>
                <w:szCs w:val="18"/>
              </w:rPr>
            </w:pPr>
            <w:r>
              <w:rPr>
                <w:rFonts w:hint="eastAsia"/>
                <w:sz w:val="18"/>
                <w:szCs w:val="18"/>
                <w:lang w:val="en-US" w:eastAsia="zh-CN"/>
              </w:rPr>
              <w:t>施工</w:t>
            </w:r>
            <w:r>
              <w:rPr>
                <w:sz w:val="18"/>
                <w:szCs w:val="18"/>
              </w:rPr>
              <w:t>过程</w:t>
            </w:r>
          </w:p>
        </w:tc>
        <w:tc>
          <w:tcPr>
            <w:tcW w:w="1028" w:type="pct"/>
            <w:gridSpan w:val="4"/>
            <w:tcBorders>
              <w:left w:val="single" w:color="auto" w:sz="4" w:space="0"/>
              <w:right w:val="single" w:color="auto" w:sz="4" w:space="0"/>
            </w:tcBorders>
            <w:noWrap w:val="0"/>
            <w:vAlign w:val="center"/>
          </w:tcPr>
          <w:p w14:paraId="0612FCC4">
            <w:pPr>
              <w:snapToGrid w:val="0"/>
              <w:spacing w:line="276" w:lineRule="auto"/>
              <w:jc w:val="center"/>
              <w:rPr>
                <w:sz w:val="18"/>
                <w:szCs w:val="18"/>
              </w:rPr>
            </w:pPr>
            <w:r>
              <w:rPr>
                <w:sz w:val="18"/>
                <w:szCs w:val="18"/>
              </w:rPr>
              <w:t>物料消耗种类</w:t>
            </w:r>
          </w:p>
        </w:tc>
        <w:tc>
          <w:tcPr>
            <w:tcW w:w="850" w:type="pct"/>
            <w:gridSpan w:val="5"/>
            <w:tcBorders>
              <w:left w:val="single" w:color="auto" w:sz="4" w:space="0"/>
              <w:right w:val="single" w:color="auto" w:sz="4" w:space="0"/>
            </w:tcBorders>
            <w:noWrap w:val="0"/>
            <w:vAlign w:val="center"/>
          </w:tcPr>
          <w:p w14:paraId="09F129EE">
            <w:pPr>
              <w:snapToGrid w:val="0"/>
              <w:spacing w:line="276" w:lineRule="auto"/>
              <w:jc w:val="center"/>
            </w:pPr>
          </w:p>
        </w:tc>
        <w:tc>
          <w:tcPr>
            <w:tcW w:w="1259" w:type="pct"/>
            <w:gridSpan w:val="4"/>
            <w:tcBorders>
              <w:left w:val="single" w:color="auto" w:sz="4" w:space="0"/>
              <w:right w:val="single" w:color="auto" w:sz="4" w:space="0"/>
            </w:tcBorders>
            <w:noWrap w:val="0"/>
            <w:vAlign w:val="center"/>
          </w:tcPr>
          <w:p w14:paraId="4732330A">
            <w:pPr>
              <w:snapToGrid w:val="0"/>
              <w:spacing w:line="276" w:lineRule="auto"/>
              <w:jc w:val="center"/>
              <w:rPr>
                <w:sz w:val="18"/>
                <w:szCs w:val="18"/>
              </w:rPr>
            </w:pPr>
            <w:r>
              <w:rPr>
                <w:sz w:val="18"/>
                <w:szCs w:val="18"/>
              </w:rPr>
              <w:t>物料消耗量</w:t>
            </w:r>
          </w:p>
        </w:tc>
        <w:tc>
          <w:tcPr>
            <w:tcW w:w="1129" w:type="pct"/>
            <w:gridSpan w:val="4"/>
            <w:tcBorders>
              <w:left w:val="single" w:color="auto" w:sz="4" w:space="0"/>
              <w:right w:val="single" w:color="auto" w:sz="4" w:space="0"/>
            </w:tcBorders>
            <w:noWrap w:val="0"/>
            <w:vAlign w:val="center"/>
          </w:tcPr>
          <w:p w14:paraId="7CF32C4D">
            <w:pPr>
              <w:snapToGrid w:val="0"/>
              <w:spacing w:line="276" w:lineRule="auto"/>
              <w:jc w:val="center"/>
              <w:rPr>
                <w:sz w:val="18"/>
                <w:szCs w:val="18"/>
              </w:rPr>
            </w:pPr>
          </w:p>
        </w:tc>
      </w:tr>
      <w:tr w14:paraId="576F5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32" w:type="pct"/>
            <w:gridSpan w:val="2"/>
            <w:vMerge w:val="continue"/>
            <w:tcBorders>
              <w:left w:val="single" w:color="auto" w:sz="4" w:space="0"/>
            </w:tcBorders>
            <w:noWrap w:val="0"/>
            <w:vAlign w:val="center"/>
          </w:tcPr>
          <w:p w14:paraId="0454B247">
            <w:pPr>
              <w:snapToGrid w:val="0"/>
              <w:spacing w:line="276" w:lineRule="auto"/>
              <w:jc w:val="center"/>
              <w:rPr>
                <w:sz w:val="18"/>
                <w:szCs w:val="18"/>
              </w:rPr>
            </w:pPr>
          </w:p>
        </w:tc>
        <w:tc>
          <w:tcPr>
            <w:tcW w:w="1028" w:type="pct"/>
            <w:gridSpan w:val="4"/>
            <w:tcBorders>
              <w:left w:val="single" w:color="auto" w:sz="4" w:space="0"/>
              <w:right w:val="single" w:color="auto" w:sz="4" w:space="0"/>
            </w:tcBorders>
            <w:noWrap w:val="0"/>
            <w:vAlign w:val="center"/>
          </w:tcPr>
          <w:p w14:paraId="3F3ECF29">
            <w:pPr>
              <w:snapToGrid w:val="0"/>
              <w:spacing w:line="276" w:lineRule="auto"/>
              <w:jc w:val="center"/>
              <w:rPr>
                <w:sz w:val="18"/>
                <w:szCs w:val="18"/>
              </w:rPr>
            </w:pPr>
            <w:r>
              <w:rPr>
                <w:sz w:val="18"/>
                <w:szCs w:val="18"/>
              </w:rPr>
              <w:t>能源消耗种类</w:t>
            </w:r>
          </w:p>
        </w:tc>
        <w:tc>
          <w:tcPr>
            <w:tcW w:w="850" w:type="pct"/>
            <w:gridSpan w:val="5"/>
            <w:tcBorders>
              <w:left w:val="single" w:color="auto" w:sz="4" w:space="0"/>
              <w:right w:val="single" w:color="auto" w:sz="4" w:space="0"/>
            </w:tcBorders>
            <w:noWrap w:val="0"/>
            <w:vAlign w:val="center"/>
          </w:tcPr>
          <w:p w14:paraId="7FDAB595">
            <w:pPr>
              <w:snapToGrid w:val="0"/>
              <w:spacing w:line="276" w:lineRule="auto"/>
              <w:jc w:val="center"/>
            </w:pPr>
          </w:p>
        </w:tc>
        <w:tc>
          <w:tcPr>
            <w:tcW w:w="1259" w:type="pct"/>
            <w:gridSpan w:val="4"/>
            <w:tcBorders>
              <w:left w:val="single" w:color="auto" w:sz="4" w:space="0"/>
              <w:right w:val="single" w:color="auto" w:sz="4" w:space="0"/>
            </w:tcBorders>
            <w:noWrap w:val="0"/>
            <w:vAlign w:val="center"/>
          </w:tcPr>
          <w:p w14:paraId="7AE8164D">
            <w:pPr>
              <w:snapToGrid w:val="0"/>
              <w:spacing w:line="276" w:lineRule="auto"/>
              <w:jc w:val="center"/>
              <w:rPr>
                <w:sz w:val="18"/>
                <w:szCs w:val="18"/>
              </w:rPr>
            </w:pPr>
            <w:r>
              <w:rPr>
                <w:sz w:val="18"/>
                <w:szCs w:val="18"/>
              </w:rPr>
              <w:t>能源消耗量</w:t>
            </w:r>
          </w:p>
        </w:tc>
        <w:tc>
          <w:tcPr>
            <w:tcW w:w="1129" w:type="pct"/>
            <w:gridSpan w:val="4"/>
            <w:tcBorders>
              <w:left w:val="single" w:color="auto" w:sz="4" w:space="0"/>
              <w:right w:val="single" w:color="auto" w:sz="4" w:space="0"/>
            </w:tcBorders>
            <w:noWrap w:val="0"/>
            <w:vAlign w:val="center"/>
          </w:tcPr>
          <w:p w14:paraId="77EBB816">
            <w:pPr>
              <w:snapToGrid w:val="0"/>
              <w:spacing w:line="276" w:lineRule="auto"/>
              <w:jc w:val="center"/>
              <w:rPr>
                <w:sz w:val="18"/>
                <w:szCs w:val="18"/>
              </w:rPr>
            </w:pPr>
          </w:p>
        </w:tc>
      </w:tr>
      <w:tr w14:paraId="68F6E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32" w:type="pct"/>
            <w:gridSpan w:val="2"/>
            <w:vMerge w:val="continue"/>
            <w:tcBorders>
              <w:left w:val="single" w:color="auto" w:sz="4" w:space="0"/>
            </w:tcBorders>
            <w:noWrap w:val="0"/>
            <w:vAlign w:val="center"/>
          </w:tcPr>
          <w:p w14:paraId="0A03288C">
            <w:pPr>
              <w:snapToGrid w:val="0"/>
              <w:spacing w:line="276" w:lineRule="auto"/>
              <w:jc w:val="center"/>
              <w:rPr>
                <w:sz w:val="18"/>
                <w:szCs w:val="18"/>
              </w:rPr>
            </w:pPr>
          </w:p>
        </w:tc>
        <w:tc>
          <w:tcPr>
            <w:tcW w:w="1028" w:type="pct"/>
            <w:gridSpan w:val="4"/>
            <w:tcBorders>
              <w:left w:val="single" w:color="auto" w:sz="4" w:space="0"/>
              <w:right w:val="single" w:color="auto" w:sz="4" w:space="0"/>
            </w:tcBorders>
            <w:noWrap w:val="0"/>
            <w:vAlign w:val="center"/>
          </w:tcPr>
          <w:p w14:paraId="34E9B8A3">
            <w:pPr>
              <w:snapToGrid w:val="0"/>
              <w:spacing w:line="276" w:lineRule="auto"/>
              <w:jc w:val="center"/>
              <w:rPr>
                <w:sz w:val="18"/>
                <w:szCs w:val="18"/>
              </w:rPr>
            </w:pPr>
            <w:r>
              <w:rPr>
                <w:sz w:val="18"/>
                <w:szCs w:val="18"/>
              </w:rPr>
              <w:t>污染物排放种类</w:t>
            </w:r>
          </w:p>
        </w:tc>
        <w:tc>
          <w:tcPr>
            <w:tcW w:w="850" w:type="pct"/>
            <w:gridSpan w:val="5"/>
            <w:tcBorders>
              <w:left w:val="single" w:color="auto" w:sz="4" w:space="0"/>
              <w:right w:val="single" w:color="auto" w:sz="4" w:space="0"/>
            </w:tcBorders>
            <w:noWrap w:val="0"/>
            <w:vAlign w:val="center"/>
          </w:tcPr>
          <w:p w14:paraId="4F6CD750">
            <w:pPr>
              <w:snapToGrid w:val="0"/>
              <w:spacing w:line="276" w:lineRule="auto"/>
              <w:jc w:val="center"/>
            </w:pPr>
          </w:p>
        </w:tc>
        <w:tc>
          <w:tcPr>
            <w:tcW w:w="1259" w:type="pct"/>
            <w:gridSpan w:val="4"/>
            <w:tcBorders>
              <w:left w:val="single" w:color="auto" w:sz="4" w:space="0"/>
              <w:right w:val="single" w:color="auto" w:sz="4" w:space="0"/>
            </w:tcBorders>
            <w:noWrap w:val="0"/>
            <w:vAlign w:val="center"/>
          </w:tcPr>
          <w:p w14:paraId="4C339676">
            <w:pPr>
              <w:snapToGrid w:val="0"/>
              <w:spacing w:line="276" w:lineRule="auto"/>
              <w:jc w:val="center"/>
              <w:rPr>
                <w:sz w:val="18"/>
                <w:szCs w:val="18"/>
              </w:rPr>
            </w:pPr>
            <w:r>
              <w:rPr>
                <w:sz w:val="18"/>
                <w:szCs w:val="18"/>
              </w:rPr>
              <w:t>污染物排放量</w:t>
            </w:r>
          </w:p>
        </w:tc>
        <w:tc>
          <w:tcPr>
            <w:tcW w:w="1129" w:type="pct"/>
            <w:gridSpan w:val="4"/>
            <w:tcBorders>
              <w:left w:val="single" w:color="auto" w:sz="4" w:space="0"/>
              <w:right w:val="single" w:color="auto" w:sz="4" w:space="0"/>
            </w:tcBorders>
            <w:noWrap w:val="0"/>
            <w:vAlign w:val="center"/>
          </w:tcPr>
          <w:p w14:paraId="02C8EDB1">
            <w:pPr>
              <w:snapToGrid w:val="0"/>
              <w:spacing w:line="276" w:lineRule="auto"/>
              <w:jc w:val="center"/>
              <w:rPr>
                <w:sz w:val="18"/>
                <w:szCs w:val="18"/>
              </w:rPr>
            </w:pPr>
          </w:p>
        </w:tc>
      </w:tr>
      <w:tr w14:paraId="44ADB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32" w:type="pct"/>
            <w:gridSpan w:val="2"/>
            <w:tcBorders>
              <w:left w:val="single" w:color="auto" w:sz="4" w:space="0"/>
            </w:tcBorders>
            <w:noWrap w:val="0"/>
            <w:vAlign w:val="center"/>
          </w:tcPr>
          <w:p w14:paraId="0543CD11">
            <w:pPr>
              <w:snapToGrid w:val="0"/>
              <w:spacing w:line="276" w:lineRule="auto"/>
              <w:jc w:val="center"/>
              <w:rPr>
                <w:sz w:val="18"/>
                <w:szCs w:val="18"/>
              </w:rPr>
            </w:pPr>
            <w:r>
              <w:rPr>
                <w:sz w:val="18"/>
                <w:szCs w:val="18"/>
              </w:rPr>
              <w:t>使用过程</w:t>
            </w:r>
          </w:p>
        </w:tc>
        <w:tc>
          <w:tcPr>
            <w:tcW w:w="1028" w:type="pct"/>
            <w:gridSpan w:val="4"/>
            <w:tcBorders>
              <w:left w:val="single" w:color="auto" w:sz="4" w:space="0"/>
              <w:right w:val="single" w:color="auto" w:sz="4" w:space="0"/>
            </w:tcBorders>
            <w:noWrap w:val="0"/>
            <w:vAlign w:val="center"/>
          </w:tcPr>
          <w:p w14:paraId="1525764A">
            <w:pPr>
              <w:snapToGrid w:val="0"/>
              <w:spacing w:line="276" w:lineRule="auto"/>
              <w:jc w:val="center"/>
              <w:rPr>
                <w:sz w:val="18"/>
                <w:szCs w:val="18"/>
              </w:rPr>
            </w:pPr>
            <w:r>
              <w:rPr>
                <w:sz w:val="18"/>
                <w:szCs w:val="18"/>
              </w:rPr>
              <w:t>预期使用寿命</w:t>
            </w:r>
          </w:p>
        </w:tc>
        <w:tc>
          <w:tcPr>
            <w:tcW w:w="850" w:type="pct"/>
            <w:gridSpan w:val="5"/>
            <w:tcBorders>
              <w:left w:val="single" w:color="auto" w:sz="4" w:space="0"/>
              <w:right w:val="single" w:color="auto" w:sz="4" w:space="0"/>
            </w:tcBorders>
            <w:noWrap w:val="0"/>
            <w:vAlign w:val="center"/>
          </w:tcPr>
          <w:p w14:paraId="3636E44B">
            <w:pPr>
              <w:snapToGrid w:val="0"/>
              <w:spacing w:line="276" w:lineRule="auto"/>
              <w:jc w:val="center"/>
            </w:pPr>
          </w:p>
        </w:tc>
        <w:tc>
          <w:tcPr>
            <w:tcW w:w="1259" w:type="pct"/>
            <w:gridSpan w:val="4"/>
            <w:tcBorders>
              <w:left w:val="single" w:color="auto" w:sz="4" w:space="0"/>
              <w:right w:val="single" w:color="auto" w:sz="4" w:space="0"/>
            </w:tcBorders>
            <w:noWrap w:val="0"/>
            <w:vAlign w:val="center"/>
          </w:tcPr>
          <w:p w14:paraId="2F80C0AE">
            <w:pPr>
              <w:snapToGrid w:val="0"/>
              <w:spacing w:line="276" w:lineRule="auto"/>
              <w:jc w:val="center"/>
              <w:rPr>
                <w:sz w:val="18"/>
                <w:szCs w:val="18"/>
              </w:rPr>
            </w:pPr>
            <w:r>
              <w:rPr>
                <w:sz w:val="18"/>
                <w:szCs w:val="18"/>
              </w:rPr>
              <w:t>产品主要性能指标</w:t>
            </w:r>
          </w:p>
        </w:tc>
        <w:tc>
          <w:tcPr>
            <w:tcW w:w="1129" w:type="pct"/>
            <w:gridSpan w:val="4"/>
            <w:tcBorders>
              <w:left w:val="single" w:color="auto" w:sz="4" w:space="0"/>
              <w:right w:val="single" w:color="auto" w:sz="4" w:space="0"/>
            </w:tcBorders>
            <w:noWrap w:val="0"/>
            <w:vAlign w:val="center"/>
          </w:tcPr>
          <w:p w14:paraId="167F05B2">
            <w:pPr>
              <w:snapToGrid w:val="0"/>
              <w:spacing w:line="276" w:lineRule="auto"/>
              <w:jc w:val="center"/>
              <w:rPr>
                <w:sz w:val="18"/>
                <w:szCs w:val="18"/>
              </w:rPr>
            </w:pPr>
          </w:p>
        </w:tc>
      </w:tr>
      <w:tr w14:paraId="07E73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32" w:type="pct"/>
            <w:gridSpan w:val="2"/>
            <w:vMerge w:val="restart"/>
            <w:tcBorders>
              <w:left w:val="single" w:color="auto" w:sz="4" w:space="0"/>
            </w:tcBorders>
            <w:noWrap w:val="0"/>
            <w:vAlign w:val="center"/>
          </w:tcPr>
          <w:p w14:paraId="1FA43F74">
            <w:pPr>
              <w:snapToGrid w:val="0"/>
              <w:spacing w:line="276" w:lineRule="auto"/>
              <w:jc w:val="center"/>
              <w:rPr>
                <w:sz w:val="18"/>
                <w:szCs w:val="18"/>
              </w:rPr>
            </w:pPr>
            <w:r>
              <w:rPr>
                <w:sz w:val="18"/>
                <w:szCs w:val="18"/>
              </w:rPr>
              <w:t>维护、维修过程</w:t>
            </w:r>
          </w:p>
        </w:tc>
        <w:tc>
          <w:tcPr>
            <w:tcW w:w="1028" w:type="pct"/>
            <w:gridSpan w:val="4"/>
            <w:tcBorders>
              <w:left w:val="single" w:color="auto" w:sz="4" w:space="0"/>
              <w:right w:val="single" w:color="auto" w:sz="4" w:space="0"/>
            </w:tcBorders>
            <w:noWrap w:val="0"/>
            <w:vAlign w:val="center"/>
          </w:tcPr>
          <w:p w14:paraId="5B7B0FEF">
            <w:pPr>
              <w:snapToGrid w:val="0"/>
              <w:spacing w:line="276" w:lineRule="auto"/>
              <w:jc w:val="center"/>
              <w:rPr>
                <w:sz w:val="18"/>
                <w:szCs w:val="18"/>
              </w:rPr>
            </w:pPr>
            <w:r>
              <w:rPr>
                <w:sz w:val="18"/>
                <w:szCs w:val="18"/>
              </w:rPr>
              <w:t>物料消耗种类</w:t>
            </w:r>
          </w:p>
        </w:tc>
        <w:tc>
          <w:tcPr>
            <w:tcW w:w="850" w:type="pct"/>
            <w:gridSpan w:val="5"/>
            <w:tcBorders>
              <w:left w:val="single" w:color="auto" w:sz="4" w:space="0"/>
              <w:right w:val="single" w:color="auto" w:sz="4" w:space="0"/>
            </w:tcBorders>
            <w:noWrap w:val="0"/>
            <w:vAlign w:val="center"/>
          </w:tcPr>
          <w:p w14:paraId="6A0E1B19">
            <w:pPr>
              <w:snapToGrid w:val="0"/>
              <w:spacing w:line="276" w:lineRule="auto"/>
              <w:jc w:val="center"/>
            </w:pPr>
          </w:p>
        </w:tc>
        <w:tc>
          <w:tcPr>
            <w:tcW w:w="1259" w:type="pct"/>
            <w:gridSpan w:val="4"/>
            <w:tcBorders>
              <w:left w:val="single" w:color="auto" w:sz="4" w:space="0"/>
              <w:right w:val="single" w:color="auto" w:sz="4" w:space="0"/>
            </w:tcBorders>
            <w:noWrap w:val="0"/>
            <w:vAlign w:val="center"/>
          </w:tcPr>
          <w:p w14:paraId="6791C5CC">
            <w:pPr>
              <w:snapToGrid w:val="0"/>
              <w:spacing w:line="276" w:lineRule="auto"/>
              <w:jc w:val="center"/>
              <w:rPr>
                <w:sz w:val="18"/>
                <w:szCs w:val="18"/>
              </w:rPr>
            </w:pPr>
            <w:r>
              <w:rPr>
                <w:sz w:val="18"/>
                <w:szCs w:val="18"/>
              </w:rPr>
              <w:t>物料消耗量</w:t>
            </w:r>
          </w:p>
        </w:tc>
        <w:tc>
          <w:tcPr>
            <w:tcW w:w="1129" w:type="pct"/>
            <w:gridSpan w:val="4"/>
            <w:tcBorders>
              <w:left w:val="single" w:color="auto" w:sz="4" w:space="0"/>
              <w:right w:val="single" w:color="auto" w:sz="4" w:space="0"/>
            </w:tcBorders>
            <w:noWrap w:val="0"/>
            <w:vAlign w:val="center"/>
          </w:tcPr>
          <w:p w14:paraId="268AF269">
            <w:pPr>
              <w:snapToGrid w:val="0"/>
              <w:spacing w:line="276" w:lineRule="auto"/>
              <w:jc w:val="center"/>
              <w:rPr>
                <w:sz w:val="18"/>
                <w:szCs w:val="18"/>
              </w:rPr>
            </w:pPr>
          </w:p>
        </w:tc>
      </w:tr>
      <w:tr w14:paraId="1CEE1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32" w:type="pct"/>
            <w:gridSpan w:val="2"/>
            <w:vMerge w:val="continue"/>
            <w:tcBorders>
              <w:left w:val="single" w:color="auto" w:sz="4" w:space="0"/>
            </w:tcBorders>
            <w:noWrap w:val="0"/>
            <w:vAlign w:val="center"/>
          </w:tcPr>
          <w:p w14:paraId="60C7698A">
            <w:pPr>
              <w:snapToGrid w:val="0"/>
              <w:spacing w:line="276" w:lineRule="auto"/>
              <w:jc w:val="center"/>
              <w:rPr>
                <w:sz w:val="18"/>
                <w:szCs w:val="18"/>
              </w:rPr>
            </w:pPr>
          </w:p>
        </w:tc>
        <w:tc>
          <w:tcPr>
            <w:tcW w:w="1028" w:type="pct"/>
            <w:gridSpan w:val="4"/>
            <w:tcBorders>
              <w:left w:val="single" w:color="auto" w:sz="4" w:space="0"/>
              <w:right w:val="single" w:color="auto" w:sz="4" w:space="0"/>
            </w:tcBorders>
            <w:noWrap w:val="0"/>
            <w:vAlign w:val="center"/>
          </w:tcPr>
          <w:p w14:paraId="4148FADD">
            <w:pPr>
              <w:snapToGrid w:val="0"/>
              <w:spacing w:line="276" w:lineRule="auto"/>
              <w:jc w:val="center"/>
              <w:rPr>
                <w:sz w:val="18"/>
                <w:szCs w:val="18"/>
              </w:rPr>
            </w:pPr>
            <w:r>
              <w:rPr>
                <w:sz w:val="18"/>
                <w:szCs w:val="18"/>
              </w:rPr>
              <w:t>能源消耗种类</w:t>
            </w:r>
          </w:p>
        </w:tc>
        <w:tc>
          <w:tcPr>
            <w:tcW w:w="850" w:type="pct"/>
            <w:gridSpan w:val="5"/>
            <w:tcBorders>
              <w:left w:val="single" w:color="auto" w:sz="4" w:space="0"/>
              <w:right w:val="single" w:color="auto" w:sz="4" w:space="0"/>
            </w:tcBorders>
            <w:noWrap w:val="0"/>
            <w:vAlign w:val="center"/>
          </w:tcPr>
          <w:p w14:paraId="581CA24A">
            <w:pPr>
              <w:snapToGrid w:val="0"/>
              <w:spacing w:line="276" w:lineRule="auto"/>
              <w:jc w:val="center"/>
            </w:pPr>
          </w:p>
        </w:tc>
        <w:tc>
          <w:tcPr>
            <w:tcW w:w="1259" w:type="pct"/>
            <w:gridSpan w:val="4"/>
            <w:tcBorders>
              <w:left w:val="single" w:color="auto" w:sz="4" w:space="0"/>
              <w:right w:val="single" w:color="auto" w:sz="4" w:space="0"/>
            </w:tcBorders>
            <w:noWrap w:val="0"/>
            <w:vAlign w:val="center"/>
          </w:tcPr>
          <w:p w14:paraId="7C972A58">
            <w:pPr>
              <w:snapToGrid w:val="0"/>
              <w:spacing w:line="276" w:lineRule="auto"/>
              <w:jc w:val="center"/>
              <w:rPr>
                <w:sz w:val="18"/>
                <w:szCs w:val="18"/>
              </w:rPr>
            </w:pPr>
            <w:r>
              <w:rPr>
                <w:sz w:val="18"/>
                <w:szCs w:val="18"/>
              </w:rPr>
              <w:t>能源消耗量</w:t>
            </w:r>
          </w:p>
        </w:tc>
        <w:tc>
          <w:tcPr>
            <w:tcW w:w="1129" w:type="pct"/>
            <w:gridSpan w:val="4"/>
            <w:tcBorders>
              <w:left w:val="single" w:color="auto" w:sz="4" w:space="0"/>
              <w:right w:val="single" w:color="auto" w:sz="4" w:space="0"/>
            </w:tcBorders>
            <w:noWrap w:val="0"/>
            <w:vAlign w:val="center"/>
          </w:tcPr>
          <w:p w14:paraId="7135B01B">
            <w:pPr>
              <w:snapToGrid w:val="0"/>
              <w:spacing w:line="276" w:lineRule="auto"/>
              <w:jc w:val="center"/>
              <w:rPr>
                <w:sz w:val="18"/>
                <w:szCs w:val="18"/>
              </w:rPr>
            </w:pPr>
          </w:p>
        </w:tc>
      </w:tr>
      <w:tr w14:paraId="0B242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32" w:type="pct"/>
            <w:gridSpan w:val="2"/>
            <w:vMerge w:val="continue"/>
            <w:tcBorders>
              <w:left w:val="single" w:color="auto" w:sz="4" w:space="0"/>
            </w:tcBorders>
            <w:noWrap w:val="0"/>
            <w:vAlign w:val="center"/>
          </w:tcPr>
          <w:p w14:paraId="2D89F972">
            <w:pPr>
              <w:snapToGrid w:val="0"/>
              <w:spacing w:line="276" w:lineRule="auto"/>
              <w:jc w:val="center"/>
              <w:rPr>
                <w:sz w:val="18"/>
                <w:szCs w:val="18"/>
              </w:rPr>
            </w:pPr>
          </w:p>
        </w:tc>
        <w:tc>
          <w:tcPr>
            <w:tcW w:w="1028" w:type="pct"/>
            <w:gridSpan w:val="4"/>
            <w:tcBorders>
              <w:left w:val="single" w:color="auto" w:sz="4" w:space="0"/>
              <w:right w:val="single" w:color="auto" w:sz="4" w:space="0"/>
            </w:tcBorders>
            <w:noWrap w:val="0"/>
            <w:vAlign w:val="center"/>
          </w:tcPr>
          <w:p w14:paraId="738C5443">
            <w:pPr>
              <w:snapToGrid w:val="0"/>
              <w:spacing w:line="276" w:lineRule="auto"/>
              <w:jc w:val="center"/>
              <w:rPr>
                <w:sz w:val="18"/>
                <w:szCs w:val="18"/>
              </w:rPr>
            </w:pPr>
            <w:r>
              <w:rPr>
                <w:sz w:val="18"/>
                <w:szCs w:val="18"/>
              </w:rPr>
              <w:t>温室气体直接排放量</w:t>
            </w:r>
          </w:p>
        </w:tc>
        <w:tc>
          <w:tcPr>
            <w:tcW w:w="3238" w:type="pct"/>
            <w:gridSpan w:val="13"/>
            <w:tcBorders>
              <w:left w:val="single" w:color="auto" w:sz="4" w:space="0"/>
              <w:right w:val="single" w:color="auto" w:sz="4" w:space="0"/>
            </w:tcBorders>
            <w:noWrap w:val="0"/>
            <w:vAlign w:val="center"/>
          </w:tcPr>
          <w:p w14:paraId="3B90B15B">
            <w:pPr>
              <w:snapToGrid w:val="0"/>
              <w:spacing w:line="276" w:lineRule="auto"/>
              <w:jc w:val="center"/>
              <w:rPr>
                <w:sz w:val="18"/>
                <w:szCs w:val="18"/>
              </w:rPr>
            </w:pPr>
          </w:p>
        </w:tc>
      </w:tr>
      <w:tr w14:paraId="4BE1F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000" w:type="pct"/>
            <w:gridSpan w:val="19"/>
            <w:tcBorders>
              <w:left w:val="single" w:color="auto" w:sz="4" w:space="0"/>
              <w:right w:val="single" w:color="auto" w:sz="4" w:space="0"/>
            </w:tcBorders>
            <w:shd w:val="clear" w:color="auto" w:fill="BEBEBE"/>
            <w:noWrap w:val="0"/>
            <w:vAlign w:val="center"/>
          </w:tcPr>
          <w:p w14:paraId="1A2480E0">
            <w:pPr>
              <w:snapToGrid w:val="0"/>
              <w:spacing w:line="276" w:lineRule="auto"/>
              <w:jc w:val="left"/>
              <w:rPr>
                <w:sz w:val="18"/>
                <w:szCs w:val="18"/>
              </w:rPr>
            </w:pPr>
            <w:r>
              <w:rPr>
                <w:b/>
                <w:bCs/>
                <w:sz w:val="18"/>
                <w:szCs w:val="18"/>
              </w:rPr>
              <w:t>生命末期阶段（</w:t>
            </w:r>
            <w:r>
              <w:rPr>
                <w:rFonts w:hint="eastAsia"/>
                <w:b/>
                <w:bCs/>
                <w:sz w:val="18"/>
                <w:szCs w:val="18"/>
                <w:lang w:val="en-US" w:eastAsia="zh-CN"/>
              </w:rPr>
              <w:t>E</w:t>
            </w:r>
            <w:r>
              <w:rPr>
                <w:b/>
                <w:bCs/>
                <w:sz w:val="18"/>
                <w:szCs w:val="18"/>
              </w:rPr>
              <w:t>）</w:t>
            </w:r>
          </w:p>
        </w:tc>
      </w:tr>
      <w:tr w14:paraId="06873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32" w:type="pct"/>
            <w:gridSpan w:val="2"/>
            <w:vMerge w:val="restart"/>
            <w:tcBorders>
              <w:left w:val="single" w:color="auto" w:sz="4" w:space="0"/>
            </w:tcBorders>
            <w:noWrap w:val="0"/>
            <w:vAlign w:val="center"/>
          </w:tcPr>
          <w:p w14:paraId="0020D9F1">
            <w:pPr>
              <w:snapToGrid w:val="0"/>
              <w:spacing w:line="276" w:lineRule="auto"/>
              <w:jc w:val="center"/>
              <w:rPr>
                <w:sz w:val="18"/>
                <w:szCs w:val="18"/>
              </w:rPr>
            </w:pPr>
            <w:r>
              <w:rPr>
                <w:sz w:val="18"/>
                <w:szCs w:val="18"/>
              </w:rPr>
              <w:t>拆解/拆卸过程</w:t>
            </w:r>
          </w:p>
        </w:tc>
        <w:tc>
          <w:tcPr>
            <w:tcW w:w="1028" w:type="pct"/>
            <w:gridSpan w:val="4"/>
            <w:tcBorders>
              <w:left w:val="single" w:color="auto" w:sz="4" w:space="0"/>
              <w:right w:val="single" w:color="auto" w:sz="4" w:space="0"/>
            </w:tcBorders>
            <w:noWrap w:val="0"/>
            <w:vAlign w:val="center"/>
          </w:tcPr>
          <w:p w14:paraId="053CF613">
            <w:pPr>
              <w:snapToGrid w:val="0"/>
              <w:spacing w:line="276" w:lineRule="auto"/>
              <w:jc w:val="center"/>
              <w:rPr>
                <w:sz w:val="18"/>
                <w:szCs w:val="18"/>
              </w:rPr>
            </w:pPr>
            <w:r>
              <w:rPr>
                <w:sz w:val="18"/>
                <w:szCs w:val="18"/>
              </w:rPr>
              <w:t>物料消耗种类</w:t>
            </w:r>
          </w:p>
        </w:tc>
        <w:tc>
          <w:tcPr>
            <w:tcW w:w="850" w:type="pct"/>
            <w:gridSpan w:val="5"/>
            <w:tcBorders>
              <w:left w:val="single" w:color="auto" w:sz="4" w:space="0"/>
              <w:right w:val="single" w:color="auto" w:sz="4" w:space="0"/>
            </w:tcBorders>
            <w:noWrap w:val="0"/>
            <w:vAlign w:val="center"/>
          </w:tcPr>
          <w:p w14:paraId="76243A0B">
            <w:pPr>
              <w:snapToGrid w:val="0"/>
              <w:spacing w:line="276" w:lineRule="auto"/>
              <w:jc w:val="center"/>
            </w:pPr>
          </w:p>
        </w:tc>
        <w:tc>
          <w:tcPr>
            <w:tcW w:w="1259" w:type="pct"/>
            <w:gridSpan w:val="4"/>
            <w:tcBorders>
              <w:left w:val="single" w:color="auto" w:sz="4" w:space="0"/>
              <w:right w:val="single" w:color="auto" w:sz="4" w:space="0"/>
            </w:tcBorders>
            <w:noWrap w:val="0"/>
            <w:vAlign w:val="center"/>
          </w:tcPr>
          <w:p w14:paraId="46F6D9FE">
            <w:pPr>
              <w:snapToGrid w:val="0"/>
              <w:spacing w:line="276" w:lineRule="auto"/>
              <w:jc w:val="center"/>
              <w:rPr>
                <w:sz w:val="18"/>
                <w:szCs w:val="18"/>
              </w:rPr>
            </w:pPr>
            <w:r>
              <w:rPr>
                <w:sz w:val="18"/>
                <w:szCs w:val="18"/>
              </w:rPr>
              <w:t>物料消耗量</w:t>
            </w:r>
          </w:p>
        </w:tc>
        <w:tc>
          <w:tcPr>
            <w:tcW w:w="1129" w:type="pct"/>
            <w:gridSpan w:val="4"/>
            <w:tcBorders>
              <w:left w:val="single" w:color="auto" w:sz="4" w:space="0"/>
              <w:right w:val="single" w:color="auto" w:sz="4" w:space="0"/>
            </w:tcBorders>
            <w:noWrap w:val="0"/>
            <w:vAlign w:val="center"/>
          </w:tcPr>
          <w:p w14:paraId="30657905">
            <w:pPr>
              <w:snapToGrid w:val="0"/>
              <w:spacing w:line="276" w:lineRule="auto"/>
              <w:jc w:val="center"/>
              <w:rPr>
                <w:sz w:val="18"/>
                <w:szCs w:val="18"/>
              </w:rPr>
            </w:pPr>
          </w:p>
        </w:tc>
      </w:tr>
      <w:tr w14:paraId="1CBCF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32" w:type="pct"/>
            <w:gridSpan w:val="2"/>
            <w:vMerge w:val="continue"/>
            <w:tcBorders>
              <w:left w:val="single" w:color="auto" w:sz="4" w:space="0"/>
            </w:tcBorders>
            <w:noWrap w:val="0"/>
            <w:vAlign w:val="center"/>
          </w:tcPr>
          <w:p w14:paraId="316A8F72">
            <w:pPr>
              <w:snapToGrid w:val="0"/>
              <w:spacing w:line="276" w:lineRule="auto"/>
              <w:jc w:val="center"/>
              <w:rPr>
                <w:sz w:val="18"/>
                <w:szCs w:val="18"/>
              </w:rPr>
            </w:pPr>
          </w:p>
        </w:tc>
        <w:tc>
          <w:tcPr>
            <w:tcW w:w="1028" w:type="pct"/>
            <w:gridSpan w:val="4"/>
            <w:tcBorders>
              <w:left w:val="single" w:color="auto" w:sz="4" w:space="0"/>
              <w:right w:val="single" w:color="auto" w:sz="4" w:space="0"/>
            </w:tcBorders>
            <w:noWrap w:val="0"/>
            <w:vAlign w:val="center"/>
          </w:tcPr>
          <w:p w14:paraId="65D1D8A4">
            <w:pPr>
              <w:snapToGrid w:val="0"/>
              <w:spacing w:line="276" w:lineRule="auto"/>
              <w:jc w:val="center"/>
              <w:rPr>
                <w:sz w:val="18"/>
                <w:szCs w:val="18"/>
              </w:rPr>
            </w:pPr>
            <w:r>
              <w:rPr>
                <w:sz w:val="18"/>
                <w:szCs w:val="18"/>
              </w:rPr>
              <w:t>能源消耗种类</w:t>
            </w:r>
          </w:p>
        </w:tc>
        <w:tc>
          <w:tcPr>
            <w:tcW w:w="850" w:type="pct"/>
            <w:gridSpan w:val="5"/>
            <w:tcBorders>
              <w:left w:val="single" w:color="auto" w:sz="4" w:space="0"/>
              <w:right w:val="single" w:color="auto" w:sz="4" w:space="0"/>
            </w:tcBorders>
            <w:noWrap w:val="0"/>
            <w:vAlign w:val="center"/>
          </w:tcPr>
          <w:p w14:paraId="378D9569">
            <w:pPr>
              <w:snapToGrid w:val="0"/>
              <w:spacing w:line="276" w:lineRule="auto"/>
              <w:jc w:val="center"/>
            </w:pPr>
          </w:p>
        </w:tc>
        <w:tc>
          <w:tcPr>
            <w:tcW w:w="1259" w:type="pct"/>
            <w:gridSpan w:val="4"/>
            <w:tcBorders>
              <w:left w:val="single" w:color="auto" w:sz="4" w:space="0"/>
              <w:right w:val="single" w:color="auto" w:sz="4" w:space="0"/>
            </w:tcBorders>
            <w:noWrap w:val="0"/>
            <w:vAlign w:val="center"/>
          </w:tcPr>
          <w:p w14:paraId="1AEFFB9C">
            <w:pPr>
              <w:snapToGrid w:val="0"/>
              <w:spacing w:line="276" w:lineRule="auto"/>
              <w:jc w:val="center"/>
              <w:rPr>
                <w:sz w:val="18"/>
                <w:szCs w:val="18"/>
              </w:rPr>
            </w:pPr>
            <w:r>
              <w:rPr>
                <w:sz w:val="18"/>
                <w:szCs w:val="18"/>
              </w:rPr>
              <w:t>能源消耗量</w:t>
            </w:r>
          </w:p>
        </w:tc>
        <w:tc>
          <w:tcPr>
            <w:tcW w:w="1129" w:type="pct"/>
            <w:gridSpan w:val="4"/>
            <w:tcBorders>
              <w:left w:val="single" w:color="auto" w:sz="4" w:space="0"/>
              <w:right w:val="single" w:color="auto" w:sz="4" w:space="0"/>
            </w:tcBorders>
            <w:noWrap w:val="0"/>
            <w:vAlign w:val="center"/>
          </w:tcPr>
          <w:p w14:paraId="48E01B45">
            <w:pPr>
              <w:snapToGrid w:val="0"/>
              <w:spacing w:line="276" w:lineRule="auto"/>
              <w:jc w:val="center"/>
              <w:rPr>
                <w:sz w:val="18"/>
                <w:szCs w:val="18"/>
              </w:rPr>
            </w:pPr>
          </w:p>
        </w:tc>
      </w:tr>
      <w:tr w14:paraId="774C1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32" w:type="pct"/>
            <w:gridSpan w:val="2"/>
            <w:vMerge w:val="continue"/>
            <w:tcBorders>
              <w:left w:val="single" w:color="auto" w:sz="4" w:space="0"/>
            </w:tcBorders>
            <w:noWrap w:val="0"/>
            <w:vAlign w:val="center"/>
          </w:tcPr>
          <w:p w14:paraId="6772D41F">
            <w:pPr>
              <w:snapToGrid w:val="0"/>
              <w:spacing w:line="276" w:lineRule="auto"/>
              <w:jc w:val="center"/>
              <w:rPr>
                <w:sz w:val="18"/>
                <w:szCs w:val="18"/>
              </w:rPr>
            </w:pPr>
          </w:p>
        </w:tc>
        <w:tc>
          <w:tcPr>
            <w:tcW w:w="1028" w:type="pct"/>
            <w:gridSpan w:val="4"/>
            <w:tcBorders>
              <w:left w:val="single" w:color="auto" w:sz="4" w:space="0"/>
              <w:right w:val="single" w:color="auto" w:sz="4" w:space="0"/>
            </w:tcBorders>
            <w:noWrap w:val="0"/>
            <w:vAlign w:val="center"/>
          </w:tcPr>
          <w:p w14:paraId="6CAB39E9">
            <w:pPr>
              <w:snapToGrid w:val="0"/>
              <w:spacing w:line="276" w:lineRule="auto"/>
              <w:jc w:val="center"/>
              <w:rPr>
                <w:sz w:val="18"/>
                <w:szCs w:val="18"/>
              </w:rPr>
            </w:pPr>
            <w:r>
              <w:rPr>
                <w:sz w:val="18"/>
                <w:szCs w:val="18"/>
              </w:rPr>
              <w:t>温室气体直接排放量</w:t>
            </w:r>
          </w:p>
        </w:tc>
        <w:tc>
          <w:tcPr>
            <w:tcW w:w="3238" w:type="pct"/>
            <w:gridSpan w:val="13"/>
            <w:tcBorders>
              <w:left w:val="single" w:color="auto" w:sz="4" w:space="0"/>
              <w:right w:val="single" w:color="auto" w:sz="4" w:space="0"/>
            </w:tcBorders>
            <w:noWrap w:val="0"/>
            <w:vAlign w:val="center"/>
          </w:tcPr>
          <w:p w14:paraId="2229B918">
            <w:pPr>
              <w:snapToGrid w:val="0"/>
              <w:spacing w:line="276" w:lineRule="auto"/>
              <w:jc w:val="center"/>
              <w:rPr>
                <w:sz w:val="18"/>
                <w:szCs w:val="18"/>
              </w:rPr>
            </w:pPr>
          </w:p>
        </w:tc>
      </w:tr>
      <w:tr w14:paraId="5E075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32" w:type="pct"/>
            <w:gridSpan w:val="2"/>
            <w:tcBorders>
              <w:left w:val="single" w:color="auto" w:sz="4" w:space="0"/>
            </w:tcBorders>
            <w:noWrap w:val="0"/>
            <w:vAlign w:val="center"/>
          </w:tcPr>
          <w:p w14:paraId="23AEE4EB">
            <w:pPr>
              <w:snapToGrid w:val="0"/>
              <w:spacing w:line="276" w:lineRule="auto"/>
              <w:jc w:val="center"/>
              <w:rPr>
                <w:sz w:val="18"/>
                <w:szCs w:val="18"/>
              </w:rPr>
            </w:pPr>
            <w:r>
              <w:rPr>
                <w:sz w:val="18"/>
                <w:szCs w:val="18"/>
              </w:rPr>
              <w:t>运输过程</w:t>
            </w:r>
          </w:p>
        </w:tc>
        <w:tc>
          <w:tcPr>
            <w:tcW w:w="687" w:type="pct"/>
            <w:gridSpan w:val="2"/>
            <w:tcBorders>
              <w:left w:val="single" w:color="auto" w:sz="4" w:space="0"/>
              <w:right w:val="single" w:color="auto" w:sz="4" w:space="0"/>
            </w:tcBorders>
            <w:noWrap w:val="0"/>
            <w:vAlign w:val="center"/>
          </w:tcPr>
          <w:p w14:paraId="2A676530">
            <w:pPr>
              <w:snapToGrid w:val="0"/>
              <w:spacing w:line="276" w:lineRule="auto"/>
              <w:jc w:val="center"/>
              <w:rPr>
                <w:sz w:val="18"/>
                <w:szCs w:val="18"/>
              </w:rPr>
            </w:pPr>
            <w:r>
              <w:rPr>
                <w:sz w:val="18"/>
                <w:szCs w:val="18"/>
              </w:rPr>
              <w:t>运输方式</w:t>
            </w:r>
          </w:p>
        </w:tc>
        <w:tc>
          <w:tcPr>
            <w:tcW w:w="706" w:type="pct"/>
            <w:gridSpan w:val="4"/>
            <w:tcBorders>
              <w:left w:val="single" w:color="auto" w:sz="4" w:space="0"/>
              <w:right w:val="single" w:color="auto" w:sz="4" w:space="0"/>
            </w:tcBorders>
            <w:noWrap w:val="0"/>
            <w:vAlign w:val="center"/>
          </w:tcPr>
          <w:p w14:paraId="1F3749CF">
            <w:pPr>
              <w:snapToGrid w:val="0"/>
              <w:spacing w:line="276" w:lineRule="auto"/>
              <w:jc w:val="center"/>
            </w:pPr>
          </w:p>
        </w:tc>
        <w:tc>
          <w:tcPr>
            <w:tcW w:w="706" w:type="pct"/>
            <w:gridSpan w:val="4"/>
            <w:tcBorders>
              <w:left w:val="single" w:color="auto" w:sz="4" w:space="0"/>
              <w:right w:val="single" w:color="auto" w:sz="4" w:space="0"/>
            </w:tcBorders>
            <w:noWrap w:val="0"/>
            <w:vAlign w:val="center"/>
          </w:tcPr>
          <w:p w14:paraId="0BEF3A6D">
            <w:pPr>
              <w:snapToGrid w:val="0"/>
              <w:spacing w:line="276" w:lineRule="auto"/>
              <w:jc w:val="center"/>
              <w:rPr>
                <w:sz w:val="18"/>
                <w:szCs w:val="18"/>
              </w:rPr>
            </w:pPr>
            <w:r>
              <w:rPr>
                <w:sz w:val="18"/>
                <w:szCs w:val="18"/>
              </w:rPr>
              <w:t>运输距离</w:t>
            </w:r>
          </w:p>
        </w:tc>
        <w:tc>
          <w:tcPr>
            <w:tcW w:w="845" w:type="pct"/>
            <w:gridSpan w:val="2"/>
            <w:tcBorders>
              <w:left w:val="single" w:color="auto" w:sz="4" w:space="0"/>
              <w:right w:val="single" w:color="auto" w:sz="4" w:space="0"/>
            </w:tcBorders>
            <w:noWrap w:val="0"/>
            <w:vAlign w:val="center"/>
          </w:tcPr>
          <w:p w14:paraId="495C9134">
            <w:pPr>
              <w:snapToGrid w:val="0"/>
              <w:spacing w:line="276" w:lineRule="auto"/>
              <w:jc w:val="center"/>
              <w:rPr>
                <w:sz w:val="18"/>
                <w:szCs w:val="18"/>
              </w:rPr>
            </w:pPr>
          </w:p>
        </w:tc>
        <w:tc>
          <w:tcPr>
            <w:tcW w:w="567" w:type="pct"/>
            <w:gridSpan w:val="2"/>
            <w:tcBorders>
              <w:left w:val="single" w:color="auto" w:sz="4" w:space="0"/>
              <w:right w:val="single" w:color="auto" w:sz="4" w:space="0"/>
            </w:tcBorders>
            <w:noWrap w:val="0"/>
            <w:vAlign w:val="center"/>
          </w:tcPr>
          <w:p w14:paraId="340B2551">
            <w:pPr>
              <w:snapToGrid w:val="0"/>
              <w:spacing w:line="276" w:lineRule="auto"/>
              <w:jc w:val="center"/>
              <w:rPr>
                <w:sz w:val="18"/>
                <w:szCs w:val="18"/>
              </w:rPr>
            </w:pPr>
            <w:r>
              <w:rPr>
                <w:sz w:val="18"/>
                <w:szCs w:val="18"/>
              </w:rPr>
              <w:t>运输量</w:t>
            </w:r>
          </w:p>
        </w:tc>
        <w:tc>
          <w:tcPr>
            <w:tcW w:w="753" w:type="pct"/>
            <w:gridSpan w:val="3"/>
            <w:tcBorders>
              <w:left w:val="single" w:color="auto" w:sz="4" w:space="0"/>
              <w:right w:val="single" w:color="auto" w:sz="4" w:space="0"/>
            </w:tcBorders>
            <w:noWrap w:val="0"/>
            <w:vAlign w:val="center"/>
          </w:tcPr>
          <w:p w14:paraId="1F4838C8">
            <w:pPr>
              <w:snapToGrid w:val="0"/>
              <w:spacing w:line="276" w:lineRule="auto"/>
              <w:jc w:val="center"/>
              <w:rPr>
                <w:sz w:val="18"/>
                <w:szCs w:val="18"/>
              </w:rPr>
            </w:pPr>
          </w:p>
        </w:tc>
      </w:tr>
      <w:tr w14:paraId="2FC60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32" w:type="pct"/>
            <w:gridSpan w:val="2"/>
            <w:tcBorders>
              <w:left w:val="single" w:color="auto" w:sz="4" w:space="0"/>
            </w:tcBorders>
            <w:noWrap w:val="0"/>
            <w:vAlign w:val="center"/>
          </w:tcPr>
          <w:p w14:paraId="382C0C9F">
            <w:pPr>
              <w:snapToGrid w:val="0"/>
              <w:spacing w:line="276" w:lineRule="auto"/>
              <w:jc w:val="center"/>
              <w:rPr>
                <w:sz w:val="18"/>
                <w:szCs w:val="18"/>
              </w:rPr>
            </w:pPr>
            <w:r>
              <w:rPr>
                <w:sz w:val="18"/>
                <w:szCs w:val="18"/>
              </w:rPr>
              <w:t>废弃过程</w:t>
            </w:r>
          </w:p>
        </w:tc>
        <w:tc>
          <w:tcPr>
            <w:tcW w:w="1028" w:type="pct"/>
            <w:gridSpan w:val="4"/>
            <w:tcBorders>
              <w:left w:val="single" w:color="auto" w:sz="4" w:space="0"/>
              <w:right w:val="single" w:color="auto" w:sz="4" w:space="0"/>
            </w:tcBorders>
            <w:noWrap w:val="0"/>
            <w:vAlign w:val="center"/>
          </w:tcPr>
          <w:p w14:paraId="19922692">
            <w:pPr>
              <w:snapToGrid w:val="0"/>
              <w:spacing w:line="276" w:lineRule="auto"/>
              <w:jc w:val="center"/>
              <w:rPr>
                <w:sz w:val="18"/>
                <w:szCs w:val="18"/>
              </w:rPr>
            </w:pPr>
            <w:r>
              <w:rPr>
                <w:sz w:val="18"/>
                <w:szCs w:val="18"/>
              </w:rPr>
              <w:t>废弃处理方式</w:t>
            </w:r>
          </w:p>
        </w:tc>
        <w:tc>
          <w:tcPr>
            <w:tcW w:w="3238" w:type="pct"/>
            <w:gridSpan w:val="13"/>
            <w:tcBorders>
              <w:left w:val="single" w:color="auto" w:sz="4" w:space="0"/>
              <w:right w:val="single" w:color="auto" w:sz="4" w:space="0"/>
            </w:tcBorders>
            <w:noWrap w:val="0"/>
            <w:vAlign w:val="center"/>
          </w:tcPr>
          <w:p w14:paraId="279DA675">
            <w:pPr>
              <w:snapToGrid w:val="0"/>
              <w:spacing w:line="276" w:lineRule="auto"/>
              <w:jc w:val="center"/>
              <w:rPr>
                <w:sz w:val="18"/>
                <w:szCs w:val="18"/>
              </w:rPr>
            </w:pPr>
          </w:p>
        </w:tc>
      </w:tr>
      <w:tr w14:paraId="1BF56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32" w:type="pct"/>
            <w:gridSpan w:val="2"/>
            <w:vMerge w:val="restart"/>
            <w:tcBorders>
              <w:left w:val="single" w:color="auto" w:sz="4" w:space="0"/>
            </w:tcBorders>
            <w:noWrap w:val="0"/>
            <w:vAlign w:val="center"/>
          </w:tcPr>
          <w:p w14:paraId="4F753DB4">
            <w:pPr>
              <w:snapToGrid w:val="0"/>
              <w:spacing w:line="276" w:lineRule="auto"/>
              <w:jc w:val="center"/>
              <w:rPr>
                <w:sz w:val="18"/>
                <w:szCs w:val="18"/>
              </w:rPr>
            </w:pPr>
            <w:r>
              <w:rPr>
                <w:sz w:val="18"/>
                <w:szCs w:val="18"/>
              </w:rPr>
              <w:t>回收处理过程</w:t>
            </w:r>
          </w:p>
        </w:tc>
        <w:tc>
          <w:tcPr>
            <w:tcW w:w="1028" w:type="pct"/>
            <w:gridSpan w:val="4"/>
            <w:tcBorders>
              <w:left w:val="single" w:color="auto" w:sz="4" w:space="0"/>
              <w:right w:val="single" w:color="auto" w:sz="4" w:space="0"/>
            </w:tcBorders>
            <w:noWrap w:val="0"/>
            <w:vAlign w:val="center"/>
          </w:tcPr>
          <w:p w14:paraId="1F5A9969">
            <w:pPr>
              <w:snapToGrid w:val="0"/>
              <w:spacing w:line="276" w:lineRule="auto"/>
              <w:jc w:val="center"/>
              <w:rPr>
                <w:sz w:val="18"/>
                <w:szCs w:val="18"/>
              </w:rPr>
            </w:pPr>
            <w:r>
              <w:rPr>
                <w:sz w:val="18"/>
                <w:szCs w:val="18"/>
              </w:rPr>
              <w:t>物料消耗种类</w:t>
            </w:r>
          </w:p>
        </w:tc>
        <w:tc>
          <w:tcPr>
            <w:tcW w:w="850" w:type="pct"/>
            <w:gridSpan w:val="5"/>
            <w:tcBorders>
              <w:left w:val="single" w:color="auto" w:sz="4" w:space="0"/>
              <w:right w:val="single" w:color="auto" w:sz="4" w:space="0"/>
            </w:tcBorders>
            <w:noWrap w:val="0"/>
            <w:vAlign w:val="center"/>
          </w:tcPr>
          <w:p w14:paraId="44DBBC84">
            <w:pPr>
              <w:snapToGrid w:val="0"/>
              <w:spacing w:line="276" w:lineRule="auto"/>
              <w:jc w:val="center"/>
            </w:pPr>
          </w:p>
        </w:tc>
        <w:tc>
          <w:tcPr>
            <w:tcW w:w="1259" w:type="pct"/>
            <w:gridSpan w:val="4"/>
            <w:tcBorders>
              <w:left w:val="single" w:color="auto" w:sz="4" w:space="0"/>
              <w:right w:val="single" w:color="auto" w:sz="4" w:space="0"/>
            </w:tcBorders>
            <w:noWrap w:val="0"/>
            <w:vAlign w:val="center"/>
          </w:tcPr>
          <w:p w14:paraId="485E410C">
            <w:pPr>
              <w:snapToGrid w:val="0"/>
              <w:spacing w:line="276" w:lineRule="auto"/>
              <w:jc w:val="center"/>
              <w:rPr>
                <w:sz w:val="18"/>
                <w:szCs w:val="18"/>
              </w:rPr>
            </w:pPr>
            <w:r>
              <w:rPr>
                <w:sz w:val="18"/>
                <w:szCs w:val="18"/>
              </w:rPr>
              <w:t>物料消耗量</w:t>
            </w:r>
          </w:p>
        </w:tc>
        <w:tc>
          <w:tcPr>
            <w:tcW w:w="1129" w:type="pct"/>
            <w:gridSpan w:val="4"/>
            <w:tcBorders>
              <w:left w:val="single" w:color="auto" w:sz="4" w:space="0"/>
              <w:right w:val="single" w:color="auto" w:sz="4" w:space="0"/>
            </w:tcBorders>
            <w:noWrap w:val="0"/>
            <w:vAlign w:val="center"/>
          </w:tcPr>
          <w:p w14:paraId="16311C29">
            <w:pPr>
              <w:snapToGrid w:val="0"/>
              <w:spacing w:line="276" w:lineRule="auto"/>
              <w:jc w:val="center"/>
              <w:rPr>
                <w:sz w:val="18"/>
                <w:szCs w:val="18"/>
              </w:rPr>
            </w:pPr>
          </w:p>
        </w:tc>
      </w:tr>
      <w:tr w14:paraId="1D442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32" w:type="pct"/>
            <w:gridSpan w:val="2"/>
            <w:vMerge w:val="continue"/>
            <w:tcBorders>
              <w:left w:val="single" w:color="auto" w:sz="4" w:space="0"/>
            </w:tcBorders>
            <w:noWrap w:val="0"/>
            <w:vAlign w:val="center"/>
          </w:tcPr>
          <w:p w14:paraId="17F607E0">
            <w:pPr>
              <w:snapToGrid w:val="0"/>
              <w:spacing w:line="276" w:lineRule="auto"/>
              <w:jc w:val="center"/>
              <w:rPr>
                <w:sz w:val="18"/>
                <w:szCs w:val="18"/>
              </w:rPr>
            </w:pPr>
          </w:p>
        </w:tc>
        <w:tc>
          <w:tcPr>
            <w:tcW w:w="1028" w:type="pct"/>
            <w:gridSpan w:val="4"/>
            <w:tcBorders>
              <w:left w:val="single" w:color="auto" w:sz="4" w:space="0"/>
              <w:right w:val="single" w:color="auto" w:sz="4" w:space="0"/>
            </w:tcBorders>
            <w:noWrap w:val="0"/>
            <w:vAlign w:val="center"/>
          </w:tcPr>
          <w:p w14:paraId="1770C389">
            <w:pPr>
              <w:snapToGrid w:val="0"/>
              <w:spacing w:line="276" w:lineRule="auto"/>
              <w:jc w:val="center"/>
              <w:rPr>
                <w:sz w:val="18"/>
                <w:szCs w:val="18"/>
              </w:rPr>
            </w:pPr>
            <w:r>
              <w:rPr>
                <w:sz w:val="18"/>
                <w:szCs w:val="18"/>
              </w:rPr>
              <w:t>能源消耗种类</w:t>
            </w:r>
          </w:p>
        </w:tc>
        <w:tc>
          <w:tcPr>
            <w:tcW w:w="850" w:type="pct"/>
            <w:gridSpan w:val="5"/>
            <w:tcBorders>
              <w:left w:val="single" w:color="auto" w:sz="4" w:space="0"/>
              <w:right w:val="single" w:color="auto" w:sz="4" w:space="0"/>
            </w:tcBorders>
            <w:noWrap w:val="0"/>
            <w:vAlign w:val="center"/>
          </w:tcPr>
          <w:p w14:paraId="4618BCA2">
            <w:pPr>
              <w:snapToGrid w:val="0"/>
              <w:spacing w:line="276" w:lineRule="auto"/>
              <w:jc w:val="center"/>
            </w:pPr>
          </w:p>
        </w:tc>
        <w:tc>
          <w:tcPr>
            <w:tcW w:w="1259" w:type="pct"/>
            <w:gridSpan w:val="4"/>
            <w:tcBorders>
              <w:left w:val="single" w:color="auto" w:sz="4" w:space="0"/>
              <w:right w:val="single" w:color="auto" w:sz="4" w:space="0"/>
            </w:tcBorders>
            <w:noWrap w:val="0"/>
            <w:vAlign w:val="center"/>
          </w:tcPr>
          <w:p w14:paraId="4B72EF2C">
            <w:pPr>
              <w:snapToGrid w:val="0"/>
              <w:spacing w:line="276" w:lineRule="auto"/>
              <w:jc w:val="center"/>
              <w:rPr>
                <w:sz w:val="18"/>
                <w:szCs w:val="18"/>
              </w:rPr>
            </w:pPr>
            <w:r>
              <w:rPr>
                <w:sz w:val="18"/>
                <w:szCs w:val="18"/>
              </w:rPr>
              <w:t>能源消耗量</w:t>
            </w:r>
          </w:p>
        </w:tc>
        <w:tc>
          <w:tcPr>
            <w:tcW w:w="1129" w:type="pct"/>
            <w:gridSpan w:val="4"/>
            <w:tcBorders>
              <w:left w:val="single" w:color="auto" w:sz="4" w:space="0"/>
              <w:right w:val="single" w:color="auto" w:sz="4" w:space="0"/>
            </w:tcBorders>
            <w:noWrap w:val="0"/>
            <w:vAlign w:val="center"/>
          </w:tcPr>
          <w:p w14:paraId="452FB54A">
            <w:pPr>
              <w:snapToGrid w:val="0"/>
              <w:spacing w:line="276" w:lineRule="auto"/>
              <w:jc w:val="center"/>
              <w:rPr>
                <w:sz w:val="18"/>
                <w:szCs w:val="18"/>
              </w:rPr>
            </w:pPr>
          </w:p>
        </w:tc>
      </w:tr>
      <w:tr w14:paraId="4E0BE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32" w:type="pct"/>
            <w:gridSpan w:val="2"/>
            <w:vMerge w:val="continue"/>
            <w:tcBorders>
              <w:left w:val="single" w:color="auto" w:sz="4" w:space="0"/>
            </w:tcBorders>
            <w:noWrap w:val="0"/>
            <w:vAlign w:val="center"/>
          </w:tcPr>
          <w:p w14:paraId="166FEEDB">
            <w:pPr>
              <w:snapToGrid w:val="0"/>
              <w:spacing w:line="276" w:lineRule="auto"/>
              <w:jc w:val="center"/>
              <w:rPr>
                <w:sz w:val="18"/>
                <w:szCs w:val="18"/>
              </w:rPr>
            </w:pPr>
          </w:p>
        </w:tc>
        <w:tc>
          <w:tcPr>
            <w:tcW w:w="1028" w:type="pct"/>
            <w:gridSpan w:val="4"/>
            <w:tcBorders>
              <w:left w:val="single" w:color="auto" w:sz="4" w:space="0"/>
              <w:right w:val="single" w:color="auto" w:sz="4" w:space="0"/>
            </w:tcBorders>
            <w:noWrap w:val="0"/>
            <w:vAlign w:val="center"/>
          </w:tcPr>
          <w:p w14:paraId="7F5F53AB">
            <w:pPr>
              <w:snapToGrid w:val="0"/>
              <w:spacing w:line="276" w:lineRule="auto"/>
              <w:jc w:val="center"/>
              <w:rPr>
                <w:sz w:val="18"/>
                <w:szCs w:val="18"/>
              </w:rPr>
            </w:pPr>
            <w:r>
              <w:rPr>
                <w:sz w:val="18"/>
                <w:szCs w:val="18"/>
              </w:rPr>
              <w:t>温室气体直接排放量</w:t>
            </w:r>
          </w:p>
        </w:tc>
        <w:tc>
          <w:tcPr>
            <w:tcW w:w="3238" w:type="pct"/>
            <w:gridSpan w:val="13"/>
            <w:tcBorders>
              <w:left w:val="single" w:color="auto" w:sz="4" w:space="0"/>
              <w:right w:val="single" w:color="auto" w:sz="4" w:space="0"/>
            </w:tcBorders>
            <w:noWrap w:val="0"/>
            <w:vAlign w:val="center"/>
          </w:tcPr>
          <w:p w14:paraId="1AC68EAE">
            <w:pPr>
              <w:snapToGrid w:val="0"/>
              <w:spacing w:line="276" w:lineRule="auto"/>
              <w:jc w:val="center"/>
              <w:rPr>
                <w:sz w:val="18"/>
                <w:szCs w:val="18"/>
              </w:rPr>
            </w:pPr>
          </w:p>
        </w:tc>
      </w:tr>
    </w:tbl>
    <w:p w14:paraId="3B26CA1B">
      <w:pPr>
        <w:keepNext w:val="0"/>
        <w:keepLines w:val="0"/>
        <w:pageBreakBefore w:val="0"/>
        <w:widowControl w:val="0"/>
        <w:kinsoku/>
        <w:wordWrap/>
        <w:overflowPunct/>
        <w:topLinePunct w:val="0"/>
        <w:autoSpaceDE/>
        <w:autoSpaceDN/>
        <w:bidi w:val="0"/>
        <w:adjustRightInd/>
        <w:snapToGrid/>
        <w:spacing w:line="276" w:lineRule="auto"/>
        <w:jc w:val="both"/>
        <w:textAlignment w:val="auto"/>
        <w:rPr>
          <w:szCs w:val="21"/>
          <w:highlight w:val="none"/>
        </w:rPr>
      </w:pPr>
    </w:p>
    <w:p w14:paraId="7FB6F811">
      <w:pPr>
        <w:spacing w:line="276" w:lineRule="auto"/>
        <w:jc w:val="center"/>
        <w:outlineLvl w:val="0"/>
        <w:rPr>
          <w:rFonts w:hint="eastAsia" w:ascii="黑体" w:hAnsi="黑体" w:eastAsia="黑体" w:cs="黑体"/>
          <w:sz w:val="21"/>
          <w:szCs w:val="21"/>
          <w:highlight w:val="none"/>
        </w:rPr>
      </w:pPr>
      <w:bookmarkStart w:id="58" w:name="_Toc304"/>
      <w:bookmarkStart w:id="59" w:name="_Toc31763"/>
    </w:p>
    <w:p w14:paraId="57D5C178">
      <w:pPr>
        <w:spacing w:line="276" w:lineRule="auto"/>
        <w:jc w:val="center"/>
        <w:outlineLvl w:val="0"/>
        <w:rPr>
          <w:rFonts w:hint="eastAsia" w:ascii="黑体" w:hAnsi="黑体" w:eastAsia="黑体" w:cs="黑体"/>
          <w:sz w:val="21"/>
          <w:szCs w:val="21"/>
          <w:highlight w:val="none"/>
          <w:lang w:eastAsia="zh-CN"/>
        </w:rPr>
      </w:pPr>
      <w:bookmarkStart w:id="60" w:name="_Toc14683"/>
      <w:r>
        <w:rPr>
          <w:rFonts w:hint="eastAsia" w:ascii="黑体" w:hAnsi="黑体" w:eastAsia="黑体" w:cs="黑体"/>
          <w:sz w:val="21"/>
          <w:szCs w:val="21"/>
          <w:highlight w:val="none"/>
        </w:rPr>
        <w:t>附录</w:t>
      </w:r>
      <w:r>
        <w:rPr>
          <w:rFonts w:hint="eastAsia" w:ascii="黑体" w:hAnsi="黑体" w:eastAsia="黑体" w:cs="黑体"/>
          <w:sz w:val="21"/>
          <w:szCs w:val="21"/>
          <w:highlight w:val="none"/>
          <w:lang w:val="en-US" w:eastAsia="zh-CN"/>
        </w:rPr>
        <w:t>C</w:t>
      </w:r>
      <w:bookmarkEnd w:id="60"/>
    </w:p>
    <w:p w14:paraId="17335F2A">
      <w:pPr>
        <w:spacing w:line="276" w:lineRule="auto"/>
        <w:jc w:val="center"/>
        <w:outlineLvl w:val="0"/>
        <w:rPr>
          <w:rFonts w:hint="eastAsia" w:ascii="黑体" w:hAnsi="黑体" w:eastAsia="黑体" w:cs="黑体"/>
          <w:sz w:val="21"/>
          <w:szCs w:val="21"/>
          <w:highlight w:val="none"/>
          <w:lang w:eastAsia="zh-CN"/>
        </w:rPr>
      </w:pPr>
      <w:bookmarkStart w:id="61" w:name="_Toc16340"/>
      <w:r>
        <w:rPr>
          <w:rFonts w:hint="eastAsia" w:ascii="黑体" w:hAnsi="黑体" w:eastAsia="黑体" w:cs="黑体"/>
          <w:sz w:val="21"/>
          <w:szCs w:val="21"/>
          <w:highlight w:val="none"/>
        </w:rPr>
        <w:t>（资料性）</w:t>
      </w:r>
      <w:bookmarkEnd w:id="61"/>
    </w:p>
    <w:p w14:paraId="67898EF3">
      <w:pPr>
        <w:spacing w:line="276" w:lineRule="auto"/>
        <w:jc w:val="center"/>
        <w:outlineLvl w:val="0"/>
        <w:rPr>
          <w:sz w:val="21"/>
          <w:szCs w:val="21"/>
          <w:highlight w:val="none"/>
        </w:rPr>
      </w:pPr>
      <w:bookmarkStart w:id="62" w:name="_Toc7805"/>
      <w:r>
        <w:rPr>
          <w:rFonts w:hint="eastAsia" w:ascii="黑体" w:hAnsi="黑体" w:eastAsia="黑体" w:cs="黑体"/>
          <w:sz w:val="21"/>
          <w:szCs w:val="21"/>
          <w:highlight w:val="none"/>
        </w:rPr>
        <w:t>次级数据采集信息</w:t>
      </w:r>
      <w:bookmarkEnd w:id="58"/>
      <w:bookmarkEnd w:id="59"/>
      <w:bookmarkEnd w:id="62"/>
    </w:p>
    <w:p w14:paraId="1178B2FD">
      <w:pPr>
        <w:spacing w:line="276"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次级数据采集</w:t>
      </w:r>
      <w:r>
        <w:rPr>
          <w:rFonts w:hint="eastAsia" w:ascii="宋体" w:hAnsi="宋体" w:eastAsia="宋体" w:cs="宋体"/>
          <w:szCs w:val="21"/>
          <w:highlight w:val="none"/>
          <w:lang w:val="en-US" w:eastAsia="zh-CN"/>
        </w:rPr>
        <w:t>信息</w:t>
      </w:r>
      <w:r>
        <w:rPr>
          <w:rFonts w:hint="eastAsia" w:ascii="宋体" w:hAnsi="宋体" w:eastAsia="宋体" w:cs="宋体"/>
          <w:szCs w:val="21"/>
          <w:highlight w:val="none"/>
        </w:rPr>
        <w:t>见表</w:t>
      </w:r>
      <w:r>
        <w:rPr>
          <w:rFonts w:hint="eastAsia" w:ascii="宋体" w:hAnsi="宋体" w:eastAsia="宋体" w:cs="宋体"/>
          <w:szCs w:val="21"/>
          <w:highlight w:val="none"/>
          <w:lang w:val="en-US" w:eastAsia="zh-CN"/>
        </w:rPr>
        <w:t>C</w:t>
      </w:r>
      <w:r>
        <w:rPr>
          <w:rFonts w:hint="eastAsia" w:ascii="宋体" w:hAnsi="宋体" w:eastAsia="宋体" w:cs="宋体"/>
          <w:szCs w:val="21"/>
          <w:highlight w:val="none"/>
        </w:rPr>
        <w:t>.1。</w:t>
      </w:r>
    </w:p>
    <w:p w14:paraId="5731B1B9">
      <w:pPr>
        <w:pStyle w:val="136"/>
        <w:spacing w:beforeLines="0" w:afterLines="0" w:line="276" w:lineRule="auto"/>
        <w:rPr>
          <w:highlight w:val="none"/>
        </w:rPr>
      </w:pPr>
      <w:r>
        <w:rPr>
          <w:rFonts w:hint="eastAsia" w:ascii="黑体" w:hAnsi="黑体" w:eastAsia="黑体" w:cs="黑体"/>
          <w:kern w:val="2"/>
          <w:szCs w:val="21"/>
          <w:highlight w:val="none"/>
        </w:rPr>
        <w:t>表</w:t>
      </w:r>
      <w:r>
        <w:rPr>
          <w:rFonts w:hint="eastAsia" w:ascii="黑体" w:hAnsi="黑体" w:eastAsia="黑体" w:cs="黑体"/>
          <w:kern w:val="2"/>
          <w:szCs w:val="21"/>
          <w:highlight w:val="none"/>
          <w:lang w:val="en-US" w:eastAsia="zh-CN"/>
        </w:rPr>
        <w:t>C</w:t>
      </w:r>
      <w:r>
        <w:rPr>
          <w:rFonts w:hint="eastAsia" w:ascii="黑体" w:hAnsi="黑体" w:eastAsia="黑体" w:cs="黑体"/>
          <w:kern w:val="2"/>
          <w:szCs w:val="21"/>
          <w:highlight w:val="none"/>
        </w:rPr>
        <w:t>.1 次级数据采集表</w:t>
      </w:r>
    </w:p>
    <w:tbl>
      <w:tblPr>
        <w:tblStyle w:val="3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8"/>
        <w:gridCol w:w="1823"/>
        <w:gridCol w:w="1454"/>
        <w:gridCol w:w="1454"/>
        <w:gridCol w:w="1456"/>
        <w:gridCol w:w="1456"/>
        <w:gridCol w:w="1456"/>
      </w:tblGrid>
      <w:tr w14:paraId="38DA2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49" w:type="pct"/>
            <w:gridSpan w:val="2"/>
            <w:tcBorders>
              <w:top w:val="single" w:color="auto" w:sz="4" w:space="0"/>
              <w:left w:val="single" w:color="auto" w:sz="4" w:space="0"/>
              <w:bottom w:val="single" w:color="auto" w:sz="4" w:space="0"/>
              <w:right w:val="single" w:color="auto" w:sz="4" w:space="0"/>
            </w:tcBorders>
            <w:noWrap w:val="0"/>
            <w:vAlign w:val="center"/>
          </w:tcPr>
          <w:p w14:paraId="278F84AD">
            <w:pPr>
              <w:spacing w:line="276" w:lineRule="auto"/>
              <w:jc w:val="center"/>
              <w:rPr>
                <w:sz w:val="18"/>
                <w:szCs w:val="21"/>
              </w:rPr>
            </w:pPr>
            <w:r>
              <w:rPr>
                <w:sz w:val="18"/>
                <w:szCs w:val="21"/>
              </w:rPr>
              <w:t>次级数据</w:t>
            </w:r>
          </w:p>
        </w:tc>
        <w:tc>
          <w:tcPr>
            <w:tcW w:w="729" w:type="pct"/>
            <w:tcBorders>
              <w:top w:val="single" w:color="auto" w:sz="4" w:space="0"/>
              <w:left w:val="single" w:color="auto" w:sz="4" w:space="0"/>
              <w:bottom w:val="single" w:color="auto" w:sz="4" w:space="0"/>
              <w:right w:val="single" w:color="auto" w:sz="4" w:space="0"/>
            </w:tcBorders>
            <w:noWrap w:val="0"/>
            <w:vAlign w:val="center"/>
          </w:tcPr>
          <w:p w14:paraId="0ED9E5B1">
            <w:pPr>
              <w:spacing w:line="276" w:lineRule="auto"/>
              <w:jc w:val="center"/>
              <w:rPr>
                <w:sz w:val="18"/>
                <w:szCs w:val="18"/>
              </w:rPr>
            </w:pPr>
            <w:r>
              <w:rPr>
                <w:sz w:val="18"/>
                <w:szCs w:val="18"/>
              </w:rPr>
              <w:t>数据来源</w:t>
            </w:r>
          </w:p>
        </w:tc>
        <w:tc>
          <w:tcPr>
            <w:tcW w:w="729" w:type="pct"/>
            <w:tcBorders>
              <w:top w:val="single" w:color="auto" w:sz="4" w:space="0"/>
              <w:left w:val="single" w:color="auto" w:sz="4" w:space="0"/>
              <w:bottom w:val="single" w:color="auto" w:sz="4" w:space="0"/>
              <w:right w:val="single" w:color="auto" w:sz="4" w:space="0"/>
            </w:tcBorders>
            <w:noWrap w:val="0"/>
            <w:vAlign w:val="center"/>
          </w:tcPr>
          <w:p w14:paraId="4DCB17C3">
            <w:pPr>
              <w:spacing w:line="276" w:lineRule="auto"/>
              <w:jc w:val="center"/>
              <w:rPr>
                <w:sz w:val="18"/>
                <w:szCs w:val="18"/>
              </w:rPr>
            </w:pPr>
            <w:r>
              <w:rPr>
                <w:sz w:val="18"/>
                <w:szCs w:val="18"/>
              </w:rPr>
              <w:t>数据获取方式</w:t>
            </w:r>
          </w:p>
        </w:tc>
        <w:tc>
          <w:tcPr>
            <w:tcW w:w="730" w:type="pct"/>
            <w:tcBorders>
              <w:top w:val="single" w:color="auto" w:sz="4" w:space="0"/>
              <w:left w:val="single" w:color="auto" w:sz="4" w:space="0"/>
              <w:bottom w:val="single" w:color="auto" w:sz="4" w:space="0"/>
              <w:right w:val="single" w:color="auto" w:sz="4" w:space="0"/>
            </w:tcBorders>
            <w:noWrap w:val="0"/>
            <w:vAlign w:val="center"/>
          </w:tcPr>
          <w:p w14:paraId="5E4E2A22">
            <w:pPr>
              <w:spacing w:line="276" w:lineRule="auto"/>
              <w:jc w:val="center"/>
              <w:rPr>
                <w:sz w:val="18"/>
                <w:szCs w:val="18"/>
              </w:rPr>
            </w:pPr>
            <w:r>
              <w:rPr>
                <w:sz w:val="18"/>
                <w:szCs w:val="18"/>
              </w:rPr>
              <w:t>时间代表性</w:t>
            </w:r>
          </w:p>
        </w:tc>
        <w:tc>
          <w:tcPr>
            <w:tcW w:w="730" w:type="pct"/>
            <w:tcBorders>
              <w:top w:val="single" w:color="auto" w:sz="4" w:space="0"/>
              <w:left w:val="single" w:color="auto" w:sz="4" w:space="0"/>
              <w:bottom w:val="single" w:color="auto" w:sz="4" w:space="0"/>
              <w:right w:val="single" w:color="auto" w:sz="4" w:space="0"/>
            </w:tcBorders>
            <w:noWrap w:val="0"/>
            <w:vAlign w:val="center"/>
          </w:tcPr>
          <w:p w14:paraId="40486974">
            <w:pPr>
              <w:spacing w:line="276" w:lineRule="auto"/>
              <w:jc w:val="center"/>
              <w:rPr>
                <w:sz w:val="18"/>
                <w:szCs w:val="18"/>
              </w:rPr>
            </w:pPr>
            <w:r>
              <w:rPr>
                <w:rFonts w:hint="eastAsia"/>
                <w:sz w:val="18"/>
                <w:szCs w:val="18"/>
              </w:rPr>
              <w:t>地理</w:t>
            </w:r>
            <w:r>
              <w:rPr>
                <w:sz w:val="18"/>
                <w:szCs w:val="18"/>
              </w:rPr>
              <w:t>代表性</w:t>
            </w:r>
          </w:p>
        </w:tc>
        <w:tc>
          <w:tcPr>
            <w:tcW w:w="730" w:type="pct"/>
            <w:tcBorders>
              <w:top w:val="single" w:color="auto" w:sz="4" w:space="0"/>
              <w:left w:val="single" w:color="auto" w:sz="4" w:space="0"/>
              <w:bottom w:val="single" w:color="auto" w:sz="4" w:space="0"/>
              <w:right w:val="single" w:color="auto" w:sz="4" w:space="0"/>
            </w:tcBorders>
            <w:noWrap w:val="0"/>
            <w:vAlign w:val="center"/>
          </w:tcPr>
          <w:p w14:paraId="69B4E623">
            <w:pPr>
              <w:spacing w:line="276" w:lineRule="auto"/>
              <w:jc w:val="center"/>
              <w:rPr>
                <w:sz w:val="18"/>
                <w:szCs w:val="18"/>
              </w:rPr>
            </w:pPr>
            <w:r>
              <w:rPr>
                <w:sz w:val="18"/>
                <w:szCs w:val="18"/>
              </w:rPr>
              <w:t>技术代表性</w:t>
            </w:r>
          </w:p>
        </w:tc>
      </w:tr>
      <w:tr w14:paraId="14BFF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0" w:type="auto"/>
            <w:vMerge w:val="restart"/>
            <w:tcBorders>
              <w:top w:val="single" w:color="auto" w:sz="4" w:space="0"/>
              <w:left w:val="single" w:color="auto" w:sz="4" w:space="0"/>
              <w:right w:val="single" w:color="auto" w:sz="4" w:space="0"/>
            </w:tcBorders>
            <w:noWrap w:val="0"/>
            <w:vAlign w:val="center"/>
          </w:tcPr>
          <w:p w14:paraId="6B1B8284">
            <w:pPr>
              <w:widowControl/>
              <w:spacing w:line="276" w:lineRule="auto"/>
              <w:jc w:val="center"/>
              <w:rPr>
                <w:sz w:val="18"/>
                <w:szCs w:val="21"/>
              </w:rPr>
            </w:pPr>
            <w:r>
              <w:rPr>
                <w:sz w:val="18"/>
                <w:szCs w:val="21"/>
              </w:rPr>
              <w:t>资源</w:t>
            </w:r>
          </w:p>
        </w:tc>
        <w:tc>
          <w:tcPr>
            <w:tcW w:w="914" w:type="pct"/>
            <w:tcBorders>
              <w:top w:val="single" w:color="auto" w:sz="4" w:space="0"/>
              <w:left w:val="single" w:color="auto" w:sz="4" w:space="0"/>
              <w:bottom w:val="single" w:color="auto" w:sz="4" w:space="0"/>
              <w:right w:val="single" w:color="auto" w:sz="4" w:space="0"/>
            </w:tcBorders>
            <w:noWrap w:val="0"/>
            <w:vAlign w:val="center"/>
          </w:tcPr>
          <w:p w14:paraId="03B8C09A">
            <w:pPr>
              <w:snapToGrid w:val="0"/>
              <w:spacing w:line="276" w:lineRule="auto"/>
              <w:jc w:val="center"/>
              <w:rPr>
                <w:rFonts w:hint="default" w:eastAsia="宋体"/>
                <w:sz w:val="18"/>
                <w:szCs w:val="18"/>
                <w:lang w:val="en-US" w:eastAsia="zh-CN"/>
              </w:rPr>
            </w:pPr>
            <w:r>
              <w:rPr>
                <w:rFonts w:hint="eastAsia" w:eastAsia="宋体"/>
                <w:sz w:val="18"/>
                <w:szCs w:val="18"/>
                <w:lang w:val="en-US" w:eastAsia="zh-CN"/>
              </w:rPr>
              <w:t>分散剂</w:t>
            </w:r>
          </w:p>
        </w:tc>
        <w:tc>
          <w:tcPr>
            <w:tcW w:w="729" w:type="pct"/>
            <w:tcBorders>
              <w:top w:val="single" w:color="auto" w:sz="4" w:space="0"/>
              <w:left w:val="single" w:color="auto" w:sz="4" w:space="0"/>
              <w:bottom w:val="single" w:color="auto" w:sz="4" w:space="0"/>
              <w:right w:val="single" w:color="auto" w:sz="4" w:space="0"/>
            </w:tcBorders>
            <w:noWrap w:val="0"/>
            <w:vAlign w:val="center"/>
          </w:tcPr>
          <w:p w14:paraId="031CC155">
            <w:pPr>
              <w:spacing w:line="276" w:lineRule="auto"/>
              <w:jc w:val="center"/>
              <w:rPr>
                <w:sz w:val="18"/>
                <w:szCs w:val="18"/>
              </w:rPr>
            </w:pPr>
          </w:p>
        </w:tc>
        <w:tc>
          <w:tcPr>
            <w:tcW w:w="729" w:type="pct"/>
            <w:tcBorders>
              <w:top w:val="single" w:color="auto" w:sz="4" w:space="0"/>
              <w:left w:val="single" w:color="auto" w:sz="4" w:space="0"/>
              <w:bottom w:val="single" w:color="auto" w:sz="4" w:space="0"/>
              <w:right w:val="single" w:color="auto" w:sz="4" w:space="0"/>
            </w:tcBorders>
            <w:noWrap w:val="0"/>
            <w:vAlign w:val="center"/>
          </w:tcPr>
          <w:p w14:paraId="1F64DBC7">
            <w:pPr>
              <w:spacing w:line="276" w:lineRule="auto"/>
              <w:jc w:val="center"/>
              <w:rPr>
                <w:sz w:val="18"/>
                <w:szCs w:val="18"/>
              </w:rPr>
            </w:pPr>
          </w:p>
        </w:tc>
        <w:tc>
          <w:tcPr>
            <w:tcW w:w="730" w:type="pct"/>
            <w:tcBorders>
              <w:top w:val="single" w:color="auto" w:sz="4" w:space="0"/>
              <w:left w:val="single" w:color="auto" w:sz="4" w:space="0"/>
              <w:bottom w:val="single" w:color="auto" w:sz="4" w:space="0"/>
              <w:right w:val="single" w:color="auto" w:sz="4" w:space="0"/>
            </w:tcBorders>
            <w:noWrap w:val="0"/>
            <w:vAlign w:val="center"/>
          </w:tcPr>
          <w:p w14:paraId="71A8E9A7">
            <w:pPr>
              <w:spacing w:line="276" w:lineRule="auto"/>
              <w:jc w:val="center"/>
              <w:rPr>
                <w:sz w:val="18"/>
                <w:szCs w:val="18"/>
              </w:rPr>
            </w:pPr>
          </w:p>
        </w:tc>
        <w:tc>
          <w:tcPr>
            <w:tcW w:w="730" w:type="pct"/>
            <w:tcBorders>
              <w:top w:val="single" w:color="auto" w:sz="4" w:space="0"/>
              <w:left w:val="single" w:color="auto" w:sz="4" w:space="0"/>
              <w:bottom w:val="single" w:color="auto" w:sz="4" w:space="0"/>
              <w:right w:val="single" w:color="auto" w:sz="4" w:space="0"/>
            </w:tcBorders>
            <w:noWrap w:val="0"/>
            <w:vAlign w:val="center"/>
          </w:tcPr>
          <w:p w14:paraId="13CEB342">
            <w:pPr>
              <w:spacing w:line="276" w:lineRule="auto"/>
              <w:jc w:val="center"/>
              <w:rPr>
                <w:sz w:val="18"/>
                <w:szCs w:val="18"/>
              </w:rPr>
            </w:pPr>
          </w:p>
        </w:tc>
        <w:tc>
          <w:tcPr>
            <w:tcW w:w="730" w:type="pct"/>
            <w:tcBorders>
              <w:top w:val="single" w:color="auto" w:sz="4" w:space="0"/>
              <w:left w:val="single" w:color="auto" w:sz="4" w:space="0"/>
              <w:bottom w:val="single" w:color="auto" w:sz="4" w:space="0"/>
              <w:right w:val="single" w:color="auto" w:sz="4" w:space="0"/>
            </w:tcBorders>
            <w:noWrap w:val="0"/>
            <w:vAlign w:val="center"/>
          </w:tcPr>
          <w:p w14:paraId="6CE77992">
            <w:pPr>
              <w:spacing w:line="276" w:lineRule="auto"/>
              <w:jc w:val="center"/>
              <w:rPr>
                <w:sz w:val="18"/>
                <w:szCs w:val="18"/>
              </w:rPr>
            </w:pPr>
          </w:p>
        </w:tc>
      </w:tr>
      <w:tr w14:paraId="4339D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14:paraId="2CF82568">
            <w:pPr>
              <w:widowControl/>
              <w:spacing w:line="276" w:lineRule="auto"/>
              <w:jc w:val="center"/>
              <w:rPr>
                <w:sz w:val="18"/>
                <w:szCs w:val="21"/>
              </w:rPr>
            </w:pPr>
          </w:p>
        </w:tc>
        <w:tc>
          <w:tcPr>
            <w:tcW w:w="914" w:type="pct"/>
            <w:tcBorders>
              <w:top w:val="single" w:color="auto" w:sz="4" w:space="0"/>
              <w:left w:val="single" w:color="auto" w:sz="4" w:space="0"/>
              <w:bottom w:val="single" w:color="auto" w:sz="4" w:space="0"/>
              <w:right w:val="single" w:color="auto" w:sz="4" w:space="0"/>
            </w:tcBorders>
            <w:noWrap w:val="0"/>
            <w:vAlign w:val="center"/>
          </w:tcPr>
          <w:p w14:paraId="768672B0">
            <w:pPr>
              <w:snapToGrid w:val="0"/>
              <w:spacing w:line="276" w:lineRule="auto"/>
              <w:jc w:val="center"/>
              <w:rPr>
                <w:rFonts w:hint="default" w:eastAsia="宋体"/>
                <w:sz w:val="18"/>
                <w:szCs w:val="18"/>
                <w:lang w:val="en-US" w:eastAsia="zh-CN"/>
              </w:rPr>
            </w:pPr>
            <w:r>
              <w:rPr>
                <w:rFonts w:hint="eastAsia"/>
                <w:sz w:val="18"/>
                <w:szCs w:val="18"/>
                <w:lang w:val="en-US" w:eastAsia="zh-CN"/>
              </w:rPr>
              <w:t>防腐剂</w:t>
            </w:r>
          </w:p>
        </w:tc>
        <w:tc>
          <w:tcPr>
            <w:tcW w:w="729" w:type="pct"/>
            <w:tcBorders>
              <w:top w:val="single" w:color="auto" w:sz="4" w:space="0"/>
              <w:left w:val="single" w:color="auto" w:sz="4" w:space="0"/>
              <w:bottom w:val="single" w:color="auto" w:sz="4" w:space="0"/>
              <w:right w:val="single" w:color="auto" w:sz="4" w:space="0"/>
            </w:tcBorders>
            <w:noWrap w:val="0"/>
            <w:vAlign w:val="center"/>
          </w:tcPr>
          <w:p w14:paraId="6A00246B">
            <w:pPr>
              <w:spacing w:line="276" w:lineRule="auto"/>
              <w:jc w:val="center"/>
              <w:rPr>
                <w:sz w:val="18"/>
                <w:szCs w:val="18"/>
              </w:rPr>
            </w:pPr>
          </w:p>
        </w:tc>
        <w:tc>
          <w:tcPr>
            <w:tcW w:w="729" w:type="pct"/>
            <w:tcBorders>
              <w:top w:val="single" w:color="auto" w:sz="4" w:space="0"/>
              <w:left w:val="single" w:color="auto" w:sz="4" w:space="0"/>
              <w:bottom w:val="single" w:color="auto" w:sz="4" w:space="0"/>
              <w:right w:val="single" w:color="auto" w:sz="4" w:space="0"/>
            </w:tcBorders>
            <w:noWrap w:val="0"/>
            <w:vAlign w:val="center"/>
          </w:tcPr>
          <w:p w14:paraId="67E2B14B">
            <w:pPr>
              <w:spacing w:line="276" w:lineRule="auto"/>
              <w:jc w:val="center"/>
              <w:rPr>
                <w:sz w:val="18"/>
                <w:szCs w:val="18"/>
              </w:rPr>
            </w:pPr>
          </w:p>
        </w:tc>
        <w:tc>
          <w:tcPr>
            <w:tcW w:w="730" w:type="pct"/>
            <w:tcBorders>
              <w:top w:val="single" w:color="auto" w:sz="4" w:space="0"/>
              <w:left w:val="single" w:color="auto" w:sz="4" w:space="0"/>
              <w:bottom w:val="single" w:color="auto" w:sz="4" w:space="0"/>
              <w:right w:val="single" w:color="auto" w:sz="4" w:space="0"/>
            </w:tcBorders>
            <w:noWrap w:val="0"/>
            <w:vAlign w:val="center"/>
          </w:tcPr>
          <w:p w14:paraId="4CFFD75F">
            <w:pPr>
              <w:spacing w:line="276" w:lineRule="auto"/>
              <w:jc w:val="center"/>
              <w:rPr>
                <w:sz w:val="18"/>
                <w:szCs w:val="18"/>
              </w:rPr>
            </w:pPr>
          </w:p>
        </w:tc>
        <w:tc>
          <w:tcPr>
            <w:tcW w:w="730" w:type="pct"/>
            <w:tcBorders>
              <w:top w:val="single" w:color="auto" w:sz="4" w:space="0"/>
              <w:left w:val="single" w:color="auto" w:sz="4" w:space="0"/>
              <w:bottom w:val="single" w:color="auto" w:sz="4" w:space="0"/>
              <w:right w:val="single" w:color="auto" w:sz="4" w:space="0"/>
            </w:tcBorders>
            <w:noWrap w:val="0"/>
            <w:vAlign w:val="center"/>
          </w:tcPr>
          <w:p w14:paraId="32767245">
            <w:pPr>
              <w:spacing w:line="276" w:lineRule="auto"/>
              <w:jc w:val="center"/>
              <w:rPr>
                <w:sz w:val="18"/>
                <w:szCs w:val="18"/>
              </w:rPr>
            </w:pPr>
          </w:p>
        </w:tc>
        <w:tc>
          <w:tcPr>
            <w:tcW w:w="730" w:type="pct"/>
            <w:tcBorders>
              <w:top w:val="single" w:color="auto" w:sz="4" w:space="0"/>
              <w:left w:val="single" w:color="auto" w:sz="4" w:space="0"/>
              <w:bottom w:val="single" w:color="auto" w:sz="4" w:space="0"/>
              <w:right w:val="single" w:color="auto" w:sz="4" w:space="0"/>
            </w:tcBorders>
            <w:noWrap w:val="0"/>
            <w:vAlign w:val="center"/>
          </w:tcPr>
          <w:p w14:paraId="312300A2">
            <w:pPr>
              <w:spacing w:line="276" w:lineRule="auto"/>
              <w:jc w:val="center"/>
              <w:rPr>
                <w:sz w:val="18"/>
                <w:szCs w:val="18"/>
              </w:rPr>
            </w:pPr>
          </w:p>
        </w:tc>
      </w:tr>
      <w:tr w14:paraId="461F7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14:paraId="5E407D60">
            <w:pPr>
              <w:widowControl/>
              <w:spacing w:line="276" w:lineRule="auto"/>
              <w:jc w:val="center"/>
              <w:rPr>
                <w:sz w:val="18"/>
                <w:szCs w:val="21"/>
              </w:rPr>
            </w:pPr>
          </w:p>
        </w:tc>
        <w:tc>
          <w:tcPr>
            <w:tcW w:w="914" w:type="pct"/>
            <w:tcBorders>
              <w:top w:val="single" w:color="auto" w:sz="4" w:space="0"/>
              <w:left w:val="single" w:color="auto" w:sz="4" w:space="0"/>
              <w:bottom w:val="single" w:color="auto" w:sz="4" w:space="0"/>
              <w:right w:val="single" w:color="auto" w:sz="4" w:space="0"/>
            </w:tcBorders>
            <w:noWrap w:val="0"/>
            <w:vAlign w:val="center"/>
          </w:tcPr>
          <w:p w14:paraId="4F4BAA55">
            <w:pPr>
              <w:snapToGrid w:val="0"/>
              <w:spacing w:line="276" w:lineRule="auto"/>
              <w:jc w:val="center"/>
              <w:rPr>
                <w:rFonts w:hint="eastAsia" w:eastAsia="宋体"/>
                <w:sz w:val="18"/>
                <w:szCs w:val="18"/>
                <w:lang w:val="en-US" w:eastAsia="zh-CN"/>
              </w:rPr>
            </w:pPr>
            <w:r>
              <w:rPr>
                <w:rFonts w:hint="eastAsia"/>
                <w:sz w:val="18"/>
                <w:szCs w:val="18"/>
                <w:lang w:val="en-US" w:eastAsia="zh-CN"/>
              </w:rPr>
              <w:t>增稠剂</w:t>
            </w:r>
          </w:p>
        </w:tc>
        <w:tc>
          <w:tcPr>
            <w:tcW w:w="729" w:type="pct"/>
            <w:tcBorders>
              <w:top w:val="single" w:color="auto" w:sz="4" w:space="0"/>
              <w:left w:val="single" w:color="auto" w:sz="4" w:space="0"/>
              <w:bottom w:val="single" w:color="auto" w:sz="4" w:space="0"/>
              <w:right w:val="single" w:color="auto" w:sz="4" w:space="0"/>
            </w:tcBorders>
            <w:noWrap w:val="0"/>
            <w:vAlign w:val="center"/>
          </w:tcPr>
          <w:p w14:paraId="3B195F46">
            <w:pPr>
              <w:spacing w:line="276" w:lineRule="auto"/>
              <w:jc w:val="center"/>
              <w:rPr>
                <w:sz w:val="18"/>
                <w:szCs w:val="18"/>
              </w:rPr>
            </w:pPr>
          </w:p>
        </w:tc>
        <w:tc>
          <w:tcPr>
            <w:tcW w:w="729" w:type="pct"/>
            <w:tcBorders>
              <w:top w:val="single" w:color="auto" w:sz="4" w:space="0"/>
              <w:left w:val="single" w:color="auto" w:sz="4" w:space="0"/>
              <w:bottom w:val="single" w:color="auto" w:sz="4" w:space="0"/>
              <w:right w:val="single" w:color="auto" w:sz="4" w:space="0"/>
            </w:tcBorders>
            <w:noWrap w:val="0"/>
            <w:vAlign w:val="center"/>
          </w:tcPr>
          <w:p w14:paraId="39D9DE83">
            <w:pPr>
              <w:spacing w:line="276" w:lineRule="auto"/>
              <w:jc w:val="center"/>
              <w:rPr>
                <w:sz w:val="18"/>
                <w:szCs w:val="18"/>
              </w:rPr>
            </w:pPr>
          </w:p>
        </w:tc>
        <w:tc>
          <w:tcPr>
            <w:tcW w:w="730" w:type="pct"/>
            <w:tcBorders>
              <w:top w:val="single" w:color="auto" w:sz="4" w:space="0"/>
              <w:left w:val="single" w:color="auto" w:sz="4" w:space="0"/>
              <w:bottom w:val="single" w:color="auto" w:sz="4" w:space="0"/>
              <w:right w:val="single" w:color="auto" w:sz="4" w:space="0"/>
            </w:tcBorders>
            <w:noWrap w:val="0"/>
            <w:vAlign w:val="center"/>
          </w:tcPr>
          <w:p w14:paraId="5A90B5A2">
            <w:pPr>
              <w:spacing w:line="276" w:lineRule="auto"/>
              <w:jc w:val="center"/>
              <w:rPr>
                <w:sz w:val="18"/>
                <w:szCs w:val="18"/>
              </w:rPr>
            </w:pPr>
          </w:p>
        </w:tc>
        <w:tc>
          <w:tcPr>
            <w:tcW w:w="730" w:type="pct"/>
            <w:tcBorders>
              <w:top w:val="single" w:color="auto" w:sz="4" w:space="0"/>
              <w:left w:val="single" w:color="auto" w:sz="4" w:space="0"/>
              <w:bottom w:val="single" w:color="auto" w:sz="4" w:space="0"/>
              <w:right w:val="single" w:color="auto" w:sz="4" w:space="0"/>
            </w:tcBorders>
            <w:noWrap w:val="0"/>
            <w:vAlign w:val="center"/>
          </w:tcPr>
          <w:p w14:paraId="1BD0B69B">
            <w:pPr>
              <w:spacing w:line="276" w:lineRule="auto"/>
              <w:jc w:val="center"/>
              <w:rPr>
                <w:sz w:val="18"/>
                <w:szCs w:val="18"/>
              </w:rPr>
            </w:pPr>
          </w:p>
        </w:tc>
        <w:tc>
          <w:tcPr>
            <w:tcW w:w="730" w:type="pct"/>
            <w:tcBorders>
              <w:top w:val="single" w:color="auto" w:sz="4" w:space="0"/>
              <w:left w:val="single" w:color="auto" w:sz="4" w:space="0"/>
              <w:bottom w:val="single" w:color="auto" w:sz="4" w:space="0"/>
              <w:right w:val="single" w:color="auto" w:sz="4" w:space="0"/>
            </w:tcBorders>
            <w:noWrap w:val="0"/>
            <w:vAlign w:val="center"/>
          </w:tcPr>
          <w:p w14:paraId="6C0ED8C8">
            <w:pPr>
              <w:spacing w:line="276" w:lineRule="auto"/>
              <w:jc w:val="center"/>
              <w:rPr>
                <w:sz w:val="18"/>
                <w:szCs w:val="18"/>
              </w:rPr>
            </w:pPr>
          </w:p>
        </w:tc>
      </w:tr>
      <w:tr w14:paraId="049EC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14:paraId="055DCA37">
            <w:pPr>
              <w:widowControl/>
              <w:spacing w:line="276" w:lineRule="auto"/>
              <w:jc w:val="center"/>
              <w:rPr>
                <w:sz w:val="18"/>
                <w:szCs w:val="21"/>
              </w:rPr>
            </w:pPr>
          </w:p>
        </w:tc>
        <w:tc>
          <w:tcPr>
            <w:tcW w:w="914" w:type="pct"/>
            <w:tcBorders>
              <w:top w:val="single" w:color="auto" w:sz="4" w:space="0"/>
              <w:left w:val="single" w:color="auto" w:sz="4" w:space="0"/>
              <w:bottom w:val="single" w:color="auto" w:sz="4" w:space="0"/>
              <w:right w:val="single" w:color="auto" w:sz="4" w:space="0"/>
            </w:tcBorders>
            <w:noWrap w:val="0"/>
            <w:vAlign w:val="center"/>
          </w:tcPr>
          <w:p w14:paraId="1743F36C">
            <w:pPr>
              <w:snapToGrid w:val="0"/>
              <w:spacing w:line="276" w:lineRule="auto"/>
              <w:jc w:val="center"/>
              <w:rPr>
                <w:rFonts w:hint="eastAsia" w:eastAsia="宋体"/>
                <w:sz w:val="18"/>
                <w:szCs w:val="18"/>
                <w:lang w:val="en-US" w:eastAsia="zh-CN"/>
              </w:rPr>
            </w:pPr>
            <w:r>
              <w:rPr>
                <w:rFonts w:hint="eastAsia"/>
                <w:sz w:val="18"/>
                <w:szCs w:val="18"/>
                <w:lang w:val="en-US" w:eastAsia="zh-CN"/>
              </w:rPr>
              <w:t>流平剂</w:t>
            </w:r>
          </w:p>
        </w:tc>
        <w:tc>
          <w:tcPr>
            <w:tcW w:w="729" w:type="pct"/>
            <w:tcBorders>
              <w:top w:val="single" w:color="auto" w:sz="4" w:space="0"/>
              <w:left w:val="single" w:color="auto" w:sz="4" w:space="0"/>
              <w:bottom w:val="single" w:color="auto" w:sz="4" w:space="0"/>
              <w:right w:val="single" w:color="auto" w:sz="4" w:space="0"/>
            </w:tcBorders>
            <w:noWrap w:val="0"/>
            <w:vAlign w:val="center"/>
          </w:tcPr>
          <w:p w14:paraId="07ABFF6C">
            <w:pPr>
              <w:spacing w:line="276" w:lineRule="auto"/>
              <w:jc w:val="center"/>
              <w:rPr>
                <w:sz w:val="18"/>
                <w:szCs w:val="18"/>
              </w:rPr>
            </w:pPr>
          </w:p>
        </w:tc>
        <w:tc>
          <w:tcPr>
            <w:tcW w:w="729" w:type="pct"/>
            <w:tcBorders>
              <w:top w:val="single" w:color="auto" w:sz="4" w:space="0"/>
              <w:left w:val="single" w:color="auto" w:sz="4" w:space="0"/>
              <w:bottom w:val="single" w:color="auto" w:sz="4" w:space="0"/>
              <w:right w:val="single" w:color="auto" w:sz="4" w:space="0"/>
            </w:tcBorders>
            <w:noWrap w:val="0"/>
            <w:vAlign w:val="center"/>
          </w:tcPr>
          <w:p w14:paraId="4BC0F82A">
            <w:pPr>
              <w:spacing w:line="276" w:lineRule="auto"/>
              <w:jc w:val="center"/>
              <w:rPr>
                <w:sz w:val="18"/>
                <w:szCs w:val="18"/>
              </w:rPr>
            </w:pPr>
          </w:p>
        </w:tc>
        <w:tc>
          <w:tcPr>
            <w:tcW w:w="730" w:type="pct"/>
            <w:tcBorders>
              <w:top w:val="single" w:color="auto" w:sz="4" w:space="0"/>
              <w:left w:val="single" w:color="auto" w:sz="4" w:space="0"/>
              <w:bottom w:val="single" w:color="auto" w:sz="4" w:space="0"/>
              <w:right w:val="single" w:color="auto" w:sz="4" w:space="0"/>
            </w:tcBorders>
            <w:noWrap w:val="0"/>
            <w:vAlign w:val="center"/>
          </w:tcPr>
          <w:p w14:paraId="3C1EE329">
            <w:pPr>
              <w:spacing w:line="276" w:lineRule="auto"/>
              <w:jc w:val="center"/>
              <w:rPr>
                <w:sz w:val="18"/>
                <w:szCs w:val="18"/>
              </w:rPr>
            </w:pPr>
          </w:p>
        </w:tc>
        <w:tc>
          <w:tcPr>
            <w:tcW w:w="730" w:type="pct"/>
            <w:tcBorders>
              <w:top w:val="single" w:color="auto" w:sz="4" w:space="0"/>
              <w:left w:val="single" w:color="auto" w:sz="4" w:space="0"/>
              <w:bottom w:val="single" w:color="auto" w:sz="4" w:space="0"/>
              <w:right w:val="single" w:color="auto" w:sz="4" w:space="0"/>
            </w:tcBorders>
            <w:noWrap w:val="0"/>
            <w:vAlign w:val="center"/>
          </w:tcPr>
          <w:p w14:paraId="2A1C4B21">
            <w:pPr>
              <w:spacing w:line="276" w:lineRule="auto"/>
              <w:jc w:val="center"/>
              <w:rPr>
                <w:sz w:val="18"/>
                <w:szCs w:val="18"/>
              </w:rPr>
            </w:pPr>
          </w:p>
        </w:tc>
        <w:tc>
          <w:tcPr>
            <w:tcW w:w="730" w:type="pct"/>
            <w:tcBorders>
              <w:top w:val="single" w:color="auto" w:sz="4" w:space="0"/>
              <w:left w:val="single" w:color="auto" w:sz="4" w:space="0"/>
              <w:bottom w:val="single" w:color="auto" w:sz="4" w:space="0"/>
              <w:right w:val="single" w:color="auto" w:sz="4" w:space="0"/>
            </w:tcBorders>
            <w:noWrap w:val="0"/>
            <w:vAlign w:val="center"/>
          </w:tcPr>
          <w:p w14:paraId="38D3CD2D">
            <w:pPr>
              <w:spacing w:line="276" w:lineRule="auto"/>
              <w:jc w:val="center"/>
              <w:rPr>
                <w:sz w:val="18"/>
                <w:szCs w:val="18"/>
              </w:rPr>
            </w:pPr>
          </w:p>
        </w:tc>
      </w:tr>
      <w:tr w14:paraId="18AED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14:paraId="7A2B0B14">
            <w:pPr>
              <w:widowControl/>
              <w:spacing w:line="276" w:lineRule="auto"/>
              <w:jc w:val="center"/>
              <w:rPr>
                <w:sz w:val="18"/>
                <w:szCs w:val="21"/>
              </w:rPr>
            </w:pPr>
          </w:p>
        </w:tc>
        <w:tc>
          <w:tcPr>
            <w:tcW w:w="914" w:type="pct"/>
            <w:tcBorders>
              <w:top w:val="single" w:color="auto" w:sz="4" w:space="0"/>
              <w:left w:val="single" w:color="auto" w:sz="4" w:space="0"/>
              <w:bottom w:val="single" w:color="auto" w:sz="4" w:space="0"/>
              <w:right w:val="single" w:color="auto" w:sz="4" w:space="0"/>
            </w:tcBorders>
            <w:noWrap w:val="0"/>
            <w:vAlign w:val="center"/>
          </w:tcPr>
          <w:p w14:paraId="3272AC9C">
            <w:pPr>
              <w:snapToGrid w:val="0"/>
              <w:spacing w:line="276" w:lineRule="auto"/>
              <w:jc w:val="center"/>
              <w:rPr>
                <w:rFonts w:hint="eastAsia" w:eastAsia="宋体"/>
                <w:sz w:val="18"/>
                <w:szCs w:val="18"/>
                <w:lang w:val="en-US" w:eastAsia="zh-CN"/>
              </w:rPr>
            </w:pPr>
            <w:r>
              <w:rPr>
                <w:rFonts w:hint="eastAsia"/>
                <w:sz w:val="18"/>
                <w:szCs w:val="18"/>
                <w:lang w:val="en-US" w:eastAsia="zh-CN"/>
              </w:rPr>
              <w:t>消泡剂</w:t>
            </w:r>
          </w:p>
        </w:tc>
        <w:tc>
          <w:tcPr>
            <w:tcW w:w="729" w:type="pct"/>
            <w:tcBorders>
              <w:top w:val="single" w:color="auto" w:sz="4" w:space="0"/>
              <w:left w:val="single" w:color="auto" w:sz="4" w:space="0"/>
              <w:bottom w:val="single" w:color="auto" w:sz="4" w:space="0"/>
              <w:right w:val="single" w:color="auto" w:sz="4" w:space="0"/>
            </w:tcBorders>
            <w:noWrap w:val="0"/>
            <w:vAlign w:val="center"/>
          </w:tcPr>
          <w:p w14:paraId="56A0684D">
            <w:pPr>
              <w:spacing w:line="276" w:lineRule="auto"/>
              <w:jc w:val="center"/>
              <w:rPr>
                <w:sz w:val="18"/>
                <w:szCs w:val="18"/>
              </w:rPr>
            </w:pPr>
          </w:p>
        </w:tc>
        <w:tc>
          <w:tcPr>
            <w:tcW w:w="729" w:type="pct"/>
            <w:tcBorders>
              <w:top w:val="single" w:color="auto" w:sz="4" w:space="0"/>
              <w:left w:val="single" w:color="auto" w:sz="4" w:space="0"/>
              <w:bottom w:val="single" w:color="auto" w:sz="4" w:space="0"/>
              <w:right w:val="single" w:color="auto" w:sz="4" w:space="0"/>
            </w:tcBorders>
            <w:noWrap w:val="0"/>
            <w:vAlign w:val="center"/>
          </w:tcPr>
          <w:p w14:paraId="17EE5110">
            <w:pPr>
              <w:spacing w:line="276" w:lineRule="auto"/>
              <w:jc w:val="center"/>
              <w:rPr>
                <w:sz w:val="18"/>
                <w:szCs w:val="18"/>
              </w:rPr>
            </w:pPr>
          </w:p>
        </w:tc>
        <w:tc>
          <w:tcPr>
            <w:tcW w:w="730" w:type="pct"/>
            <w:tcBorders>
              <w:top w:val="single" w:color="auto" w:sz="4" w:space="0"/>
              <w:left w:val="single" w:color="auto" w:sz="4" w:space="0"/>
              <w:bottom w:val="single" w:color="auto" w:sz="4" w:space="0"/>
              <w:right w:val="single" w:color="auto" w:sz="4" w:space="0"/>
            </w:tcBorders>
            <w:noWrap w:val="0"/>
            <w:vAlign w:val="center"/>
          </w:tcPr>
          <w:p w14:paraId="6C45D512">
            <w:pPr>
              <w:spacing w:line="276" w:lineRule="auto"/>
              <w:jc w:val="center"/>
              <w:rPr>
                <w:sz w:val="18"/>
                <w:szCs w:val="18"/>
              </w:rPr>
            </w:pPr>
          </w:p>
        </w:tc>
        <w:tc>
          <w:tcPr>
            <w:tcW w:w="730" w:type="pct"/>
            <w:tcBorders>
              <w:top w:val="single" w:color="auto" w:sz="4" w:space="0"/>
              <w:left w:val="single" w:color="auto" w:sz="4" w:space="0"/>
              <w:bottom w:val="single" w:color="auto" w:sz="4" w:space="0"/>
              <w:right w:val="single" w:color="auto" w:sz="4" w:space="0"/>
            </w:tcBorders>
            <w:noWrap w:val="0"/>
            <w:vAlign w:val="center"/>
          </w:tcPr>
          <w:p w14:paraId="3E1BABBC">
            <w:pPr>
              <w:spacing w:line="276" w:lineRule="auto"/>
              <w:jc w:val="center"/>
              <w:rPr>
                <w:sz w:val="18"/>
                <w:szCs w:val="18"/>
              </w:rPr>
            </w:pPr>
          </w:p>
        </w:tc>
        <w:tc>
          <w:tcPr>
            <w:tcW w:w="730" w:type="pct"/>
            <w:tcBorders>
              <w:top w:val="single" w:color="auto" w:sz="4" w:space="0"/>
              <w:left w:val="single" w:color="auto" w:sz="4" w:space="0"/>
              <w:bottom w:val="single" w:color="auto" w:sz="4" w:space="0"/>
              <w:right w:val="single" w:color="auto" w:sz="4" w:space="0"/>
            </w:tcBorders>
            <w:noWrap w:val="0"/>
            <w:vAlign w:val="center"/>
          </w:tcPr>
          <w:p w14:paraId="499958B7">
            <w:pPr>
              <w:spacing w:line="276" w:lineRule="auto"/>
              <w:jc w:val="center"/>
              <w:rPr>
                <w:sz w:val="18"/>
                <w:szCs w:val="18"/>
              </w:rPr>
            </w:pPr>
          </w:p>
        </w:tc>
      </w:tr>
      <w:tr w14:paraId="146A5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14:paraId="69AF0CCB">
            <w:pPr>
              <w:widowControl/>
              <w:spacing w:line="276" w:lineRule="auto"/>
              <w:jc w:val="center"/>
              <w:rPr>
                <w:sz w:val="18"/>
                <w:szCs w:val="21"/>
              </w:rPr>
            </w:pPr>
          </w:p>
        </w:tc>
        <w:tc>
          <w:tcPr>
            <w:tcW w:w="914" w:type="pct"/>
            <w:tcBorders>
              <w:top w:val="single" w:color="auto" w:sz="4" w:space="0"/>
              <w:left w:val="single" w:color="auto" w:sz="4" w:space="0"/>
              <w:bottom w:val="single" w:color="auto" w:sz="4" w:space="0"/>
              <w:right w:val="single" w:color="auto" w:sz="4" w:space="0"/>
            </w:tcBorders>
            <w:noWrap w:val="0"/>
            <w:vAlign w:val="center"/>
          </w:tcPr>
          <w:p w14:paraId="7AF74C83">
            <w:pPr>
              <w:snapToGrid w:val="0"/>
              <w:spacing w:line="276" w:lineRule="auto"/>
              <w:jc w:val="center"/>
              <w:rPr>
                <w:rFonts w:hint="default" w:eastAsia="宋体"/>
                <w:sz w:val="18"/>
                <w:szCs w:val="18"/>
                <w:lang w:val="en-US" w:eastAsia="zh-CN"/>
              </w:rPr>
            </w:pPr>
            <w:r>
              <w:rPr>
                <w:rFonts w:hint="eastAsia"/>
                <w:sz w:val="18"/>
                <w:szCs w:val="18"/>
                <w:lang w:val="en-US" w:eastAsia="zh-CN"/>
              </w:rPr>
              <w:t>防冻剂</w:t>
            </w:r>
          </w:p>
        </w:tc>
        <w:tc>
          <w:tcPr>
            <w:tcW w:w="729" w:type="pct"/>
            <w:tcBorders>
              <w:top w:val="single" w:color="auto" w:sz="4" w:space="0"/>
              <w:left w:val="single" w:color="auto" w:sz="4" w:space="0"/>
              <w:bottom w:val="single" w:color="auto" w:sz="4" w:space="0"/>
              <w:right w:val="single" w:color="auto" w:sz="4" w:space="0"/>
            </w:tcBorders>
            <w:noWrap w:val="0"/>
            <w:vAlign w:val="center"/>
          </w:tcPr>
          <w:p w14:paraId="72C8A0FC">
            <w:pPr>
              <w:spacing w:line="276" w:lineRule="auto"/>
              <w:jc w:val="center"/>
              <w:rPr>
                <w:sz w:val="18"/>
                <w:szCs w:val="18"/>
              </w:rPr>
            </w:pPr>
          </w:p>
        </w:tc>
        <w:tc>
          <w:tcPr>
            <w:tcW w:w="729" w:type="pct"/>
            <w:tcBorders>
              <w:top w:val="single" w:color="auto" w:sz="4" w:space="0"/>
              <w:left w:val="single" w:color="auto" w:sz="4" w:space="0"/>
              <w:bottom w:val="single" w:color="auto" w:sz="4" w:space="0"/>
              <w:right w:val="single" w:color="auto" w:sz="4" w:space="0"/>
            </w:tcBorders>
            <w:noWrap w:val="0"/>
            <w:vAlign w:val="center"/>
          </w:tcPr>
          <w:p w14:paraId="3DD6E6A5">
            <w:pPr>
              <w:spacing w:line="276" w:lineRule="auto"/>
              <w:jc w:val="center"/>
              <w:rPr>
                <w:sz w:val="18"/>
                <w:szCs w:val="18"/>
              </w:rPr>
            </w:pPr>
          </w:p>
        </w:tc>
        <w:tc>
          <w:tcPr>
            <w:tcW w:w="730" w:type="pct"/>
            <w:tcBorders>
              <w:top w:val="single" w:color="auto" w:sz="4" w:space="0"/>
              <w:left w:val="single" w:color="auto" w:sz="4" w:space="0"/>
              <w:bottom w:val="single" w:color="auto" w:sz="4" w:space="0"/>
              <w:right w:val="single" w:color="auto" w:sz="4" w:space="0"/>
            </w:tcBorders>
            <w:noWrap w:val="0"/>
            <w:vAlign w:val="center"/>
          </w:tcPr>
          <w:p w14:paraId="38F0C3D9">
            <w:pPr>
              <w:spacing w:line="276" w:lineRule="auto"/>
              <w:jc w:val="center"/>
              <w:rPr>
                <w:sz w:val="18"/>
                <w:szCs w:val="18"/>
              </w:rPr>
            </w:pPr>
          </w:p>
        </w:tc>
        <w:tc>
          <w:tcPr>
            <w:tcW w:w="730" w:type="pct"/>
            <w:tcBorders>
              <w:top w:val="single" w:color="auto" w:sz="4" w:space="0"/>
              <w:left w:val="single" w:color="auto" w:sz="4" w:space="0"/>
              <w:bottom w:val="single" w:color="auto" w:sz="4" w:space="0"/>
              <w:right w:val="single" w:color="auto" w:sz="4" w:space="0"/>
            </w:tcBorders>
            <w:noWrap w:val="0"/>
            <w:vAlign w:val="center"/>
          </w:tcPr>
          <w:p w14:paraId="682699C5">
            <w:pPr>
              <w:spacing w:line="276" w:lineRule="auto"/>
              <w:jc w:val="center"/>
              <w:rPr>
                <w:sz w:val="18"/>
                <w:szCs w:val="18"/>
              </w:rPr>
            </w:pPr>
          </w:p>
        </w:tc>
        <w:tc>
          <w:tcPr>
            <w:tcW w:w="730" w:type="pct"/>
            <w:tcBorders>
              <w:top w:val="single" w:color="auto" w:sz="4" w:space="0"/>
              <w:left w:val="single" w:color="auto" w:sz="4" w:space="0"/>
              <w:bottom w:val="single" w:color="auto" w:sz="4" w:space="0"/>
              <w:right w:val="single" w:color="auto" w:sz="4" w:space="0"/>
            </w:tcBorders>
            <w:noWrap w:val="0"/>
            <w:vAlign w:val="center"/>
          </w:tcPr>
          <w:p w14:paraId="7F122D47">
            <w:pPr>
              <w:spacing w:line="276" w:lineRule="auto"/>
              <w:jc w:val="center"/>
              <w:rPr>
                <w:sz w:val="18"/>
                <w:szCs w:val="18"/>
              </w:rPr>
            </w:pPr>
          </w:p>
        </w:tc>
      </w:tr>
      <w:tr w14:paraId="19361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14:paraId="04F9159F">
            <w:pPr>
              <w:widowControl/>
              <w:spacing w:line="276" w:lineRule="auto"/>
              <w:jc w:val="center"/>
              <w:rPr>
                <w:sz w:val="18"/>
                <w:szCs w:val="21"/>
              </w:rPr>
            </w:pPr>
          </w:p>
        </w:tc>
        <w:tc>
          <w:tcPr>
            <w:tcW w:w="914" w:type="pct"/>
            <w:tcBorders>
              <w:top w:val="single" w:color="auto" w:sz="4" w:space="0"/>
              <w:left w:val="single" w:color="auto" w:sz="4" w:space="0"/>
              <w:bottom w:val="single" w:color="auto" w:sz="4" w:space="0"/>
              <w:right w:val="single" w:color="auto" w:sz="4" w:space="0"/>
            </w:tcBorders>
            <w:noWrap w:val="0"/>
            <w:vAlign w:val="center"/>
          </w:tcPr>
          <w:p w14:paraId="313C38A5">
            <w:pPr>
              <w:snapToGrid w:val="0"/>
              <w:spacing w:line="276" w:lineRule="auto"/>
              <w:jc w:val="center"/>
              <w:rPr>
                <w:rFonts w:hint="eastAsia" w:eastAsia="宋体"/>
                <w:sz w:val="18"/>
                <w:szCs w:val="18"/>
                <w:lang w:val="en-US" w:eastAsia="zh-CN"/>
              </w:rPr>
            </w:pPr>
            <w:r>
              <w:rPr>
                <w:rFonts w:hint="eastAsia"/>
                <w:sz w:val="18"/>
                <w:szCs w:val="18"/>
                <w:lang w:val="en-US" w:eastAsia="zh-CN"/>
              </w:rPr>
              <w:t>成膜助剂</w:t>
            </w:r>
          </w:p>
        </w:tc>
        <w:tc>
          <w:tcPr>
            <w:tcW w:w="729" w:type="pct"/>
            <w:tcBorders>
              <w:top w:val="single" w:color="auto" w:sz="4" w:space="0"/>
              <w:left w:val="single" w:color="auto" w:sz="4" w:space="0"/>
              <w:bottom w:val="single" w:color="auto" w:sz="4" w:space="0"/>
              <w:right w:val="single" w:color="auto" w:sz="4" w:space="0"/>
            </w:tcBorders>
            <w:noWrap w:val="0"/>
            <w:vAlign w:val="center"/>
          </w:tcPr>
          <w:p w14:paraId="212467EC">
            <w:pPr>
              <w:spacing w:line="276" w:lineRule="auto"/>
              <w:jc w:val="center"/>
              <w:rPr>
                <w:sz w:val="18"/>
                <w:szCs w:val="18"/>
              </w:rPr>
            </w:pPr>
          </w:p>
        </w:tc>
        <w:tc>
          <w:tcPr>
            <w:tcW w:w="729" w:type="pct"/>
            <w:tcBorders>
              <w:top w:val="single" w:color="auto" w:sz="4" w:space="0"/>
              <w:left w:val="single" w:color="auto" w:sz="4" w:space="0"/>
              <w:bottom w:val="single" w:color="auto" w:sz="4" w:space="0"/>
              <w:right w:val="single" w:color="auto" w:sz="4" w:space="0"/>
            </w:tcBorders>
            <w:noWrap w:val="0"/>
            <w:vAlign w:val="center"/>
          </w:tcPr>
          <w:p w14:paraId="7D94C97B">
            <w:pPr>
              <w:spacing w:line="276" w:lineRule="auto"/>
              <w:jc w:val="center"/>
              <w:rPr>
                <w:sz w:val="18"/>
                <w:szCs w:val="18"/>
              </w:rPr>
            </w:pPr>
          </w:p>
        </w:tc>
        <w:tc>
          <w:tcPr>
            <w:tcW w:w="730" w:type="pct"/>
            <w:tcBorders>
              <w:top w:val="single" w:color="auto" w:sz="4" w:space="0"/>
              <w:left w:val="single" w:color="auto" w:sz="4" w:space="0"/>
              <w:bottom w:val="single" w:color="auto" w:sz="4" w:space="0"/>
              <w:right w:val="single" w:color="auto" w:sz="4" w:space="0"/>
            </w:tcBorders>
            <w:noWrap w:val="0"/>
            <w:vAlign w:val="center"/>
          </w:tcPr>
          <w:p w14:paraId="6FFD796B">
            <w:pPr>
              <w:spacing w:line="276" w:lineRule="auto"/>
              <w:jc w:val="center"/>
              <w:rPr>
                <w:sz w:val="18"/>
                <w:szCs w:val="18"/>
              </w:rPr>
            </w:pPr>
          </w:p>
        </w:tc>
        <w:tc>
          <w:tcPr>
            <w:tcW w:w="730" w:type="pct"/>
            <w:tcBorders>
              <w:top w:val="single" w:color="auto" w:sz="4" w:space="0"/>
              <w:left w:val="single" w:color="auto" w:sz="4" w:space="0"/>
              <w:bottom w:val="single" w:color="auto" w:sz="4" w:space="0"/>
              <w:right w:val="single" w:color="auto" w:sz="4" w:space="0"/>
            </w:tcBorders>
            <w:noWrap w:val="0"/>
            <w:vAlign w:val="center"/>
          </w:tcPr>
          <w:p w14:paraId="18721199">
            <w:pPr>
              <w:spacing w:line="276" w:lineRule="auto"/>
              <w:jc w:val="center"/>
              <w:rPr>
                <w:sz w:val="18"/>
                <w:szCs w:val="18"/>
              </w:rPr>
            </w:pPr>
          </w:p>
        </w:tc>
        <w:tc>
          <w:tcPr>
            <w:tcW w:w="730" w:type="pct"/>
            <w:tcBorders>
              <w:top w:val="single" w:color="auto" w:sz="4" w:space="0"/>
              <w:left w:val="single" w:color="auto" w:sz="4" w:space="0"/>
              <w:bottom w:val="single" w:color="auto" w:sz="4" w:space="0"/>
              <w:right w:val="single" w:color="auto" w:sz="4" w:space="0"/>
            </w:tcBorders>
            <w:noWrap w:val="0"/>
            <w:vAlign w:val="center"/>
          </w:tcPr>
          <w:p w14:paraId="6CA59E55">
            <w:pPr>
              <w:spacing w:line="276" w:lineRule="auto"/>
              <w:jc w:val="center"/>
              <w:rPr>
                <w:sz w:val="18"/>
                <w:szCs w:val="18"/>
              </w:rPr>
            </w:pPr>
          </w:p>
        </w:tc>
      </w:tr>
      <w:tr w14:paraId="56767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14:paraId="1CD6455C">
            <w:pPr>
              <w:widowControl/>
              <w:spacing w:line="276" w:lineRule="auto"/>
              <w:jc w:val="center"/>
              <w:rPr>
                <w:sz w:val="18"/>
                <w:szCs w:val="21"/>
              </w:rPr>
            </w:pPr>
          </w:p>
        </w:tc>
        <w:tc>
          <w:tcPr>
            <w:tcW w:w="914" w:type="pct"/>
            <w:tcBorders>
              <w:top w:val="single" w:color="auto" w:sz="4" w:space="0"/>
              <w:left w:val="single" w:color="auto" w:sz="4" w:space="0"/>
              <w:bottom w:val="single" w:color="auto" w:sz="4" w:space="0"/>
              <w:right w:val="single" w:color="auto" w:sz="4" w:space="0"/>
            </w:tcBorders>
            <w:noWrap w:val="0"/>
            <w:vAlign w:val="center"/>
          </w:tcPr>
          <w:p w14:paraId="141E21B1">
            <w:pPr>
              <w:snapToGrid w:val="0"/>
              <w:spacing w:line="276" w:lineRule="auto"/>
              <w:jc w:val="center"/>
              <w:rPr>
                <w:sz w:val="18"/>
                <w:szCs w:val="18"/>
              </w:rPr>
            </w:pPr>
            <w:r>
              <w:rPr>
                <w:sz w:val="18"/>
                <w:szCs w:val="18"/>
              </w:rPr>
              <w:t>……</w:t>
            </w:r>
          </w:p>
        </w:tc>
        <w:tc>
          <w:tcPr>
            <w:tcW w:w="729" w:type="pct"/>
            <w:tcBorders>
              <w:top w:val="single" w:color="auto" w:sz="4" w:space="0"/>
              <w:left w:val="single" w:color="auto" w:sz="4" w:space="0"/>
              <w:bottom w:val="single" w:color="auto" w:sz="4" w:space="0"/>
              <w:right w:val="single" w:color="auto" w:sz="4" w:space="0"/>
            </w:tcBorders>
            <w:noWrap w:val="0"/>
            <w:vAlign w:val="center"/>
          </w:tcPr>
          <w:p w14:paraId="6EE52969">
            <w:pPr>
              <w:spacing w:line="276" w:lineRule="auto"/>
              <w:jc w:val="center"/>
              <w:rPr>
                <w:sz w:val="18"/>
                <w:szCs w:val="18"/>
              </w:rPr>
            </w:pPr>
          </w:p>
        </w:tc>
        <w:tc>
          <w:tcPr>
            <w:tcW w:w="729" w:type="pct"/>
            <w:tcBorders>
              <w:top w:val="single" w:color="auto" w:sz="4" w:space="0"/>
              <w:left w:val="single" w:color="auto" w:sz="4" w:space="0"/>
              <w:bottom w:val="single" w:color="auto" w:sz="4" w:space="0"/>
              <w:right w:val="single" w:color="auto" w:sz="4" w:space="0"/>
            </w:tcBorders>
            <w:noWrap w:val="0"/>
            <w:vAlign w:val="center"/>
          </w:tcPr>
          <w:p w14:paraId="33D9055E">
            <w:pPr>
              <w:spacing w:line="276" w:lineRule="auto"/>
              <w:jc w:val="center"/>
              <w:rPr>
                <w:sz w:val="18"/>
                <w:szCs w:val="18"/>
              </w:rPr>
            </w:pPr>
          </w:p>
        </w:tc>
        <w:tc>
          <w:tcPr>
            <w:tcW w:w="730" w:type="pct"/>
            <w:tcBorders>
              <w:top w:val="single" w:color="auto" w:sz="4" w:space="0"/>
              <w:left w:val="single" w:color="auto" w:sz="4" w:space="0"/>
              <w:bottom w:val="single" w:color="auto" w:sz="4" w:space="0"/>
              <w:right w:val="single" w:color="auto" w:sz="4" w:space="0"/>
            </w:tcBorders>
            <w:noWrap w:val="0"/>
            <w:vAlign w:val="center"/>
          </w:tcPr>
          <w:p w14:paraId="701AECF5">
            <w:pPr>
              <w:spacing w:line="276" w:lineRule="auto"/>
              <w:jc w:val="center"/>
              <w:rPr>
                <w:sz w:val="18"/>
                <w:szCs w:val="18"/>
              </w:rPr>
            </w:pPr>
          </w:p>
        </w:tc>
        <w:tc>
          <w:tcPr>
            <w:tcW w:w="730" w:type="pct"/>
            <w:tcBorders>
              <w:top w:val="single" w:color="auto" w:sz="4" w:space="0"/>
              <w:left w:val="single" w:color="auto" w:sz="4" w:space="0"/>
              <w:bottom w:val="single" w:color="auto" w:sz="4" w:space="0"/>
              <w:right w:val="single" w:color="auto" w:sz="4" w:space="0"/>
            </w:tcBorders>
            <w:noWrap w:val="0"/>
            <w:vAlign w:val="center"/>
          </w:tcPr>
          <w:p w14:paraId="321D4959">
            <w:pPr>
              <w:spacing w:line="276" w:lineRule="auto"/>
              <w:jc w:val="center"/>
              <w:rPr>
                <w:sz w:val="18"/>
                <w:szCs w:val="18"/>
              </w:rPr>
            </w:pPr>
          </w:p>
        </w:tc>
        <w:tc>
          <w:tcPr>
            <w:tcW w:w="730" w:type="pct"/>
            <w:tcBorders>
              <w:top w:val="single" w:color="auto" w:sz="4" w:space="0"/>
              <w:left w:val="single" w:color="auto" w:sz="4" w:space="0"/>
              <w:bottom w:val="single" w:color="auto" w:sz="4" w:space="0"/>
              <w:right w:val="single" w:color="auto" w:sz="4" w:space="0"/>
            </w:tcBorders>
            <w:noWrap w:val="0"/>
            <w:vAlign w:val="center"/>
          </w:tcPr>
          <w:p w14:paraId="1ECCEA93">
            <w:pPr>
              <w:spacing w:line="276" w:lineRule="auto"/>
              <w:jc w:val="center"/>
              <w:rPr>
                <w:sz w:val="18"/>
                <w:szCs w:val="18"/>
              </w:rPr>
            </w:pPr>
          </w:p>
        </w:tc>
      </w:tr>
      <w:tr w14:paraId="5FCBD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35" w:type="pct"/>
            <w:vMerge w:val="restart"/>
            <w:tcBorders>
              <w:top w:val="single" w:color="auto" w:sz="4" w:space="0"/>
              <w:left w:val="single" w:color="auto" w:sz="4" w:space="0"/>
              <w:bottom w:val="single" w:color="auto" w:sz="4" w:space="0"/>
              <w:right w:val="single" w:color="auto" w:sz="4" w:space="0"/>
            </w:tcBorders>
            <w:noWrap w:val="0"/>
            <w:vAlign w:val="center"/>
          </w:tcPr>
          <w:p w14:paraId="306F5113">
            <w:pPr>
              <w:spacing w:line="276" w:lineRule="auto"/>
              <w:jc w:val="center"/>
              <w:rPr>
                <w:sz w:val="18"/>
                <w:szCs w:val="21"/>
              </w:rPr>
            </w:pPr>
            <w:r>
              <w:rPr>
                <w:sz w:val="18"/>
                <w:szCs w:val="21"/>
              </w:rPr>
              <w:t>能源</w:t>
            </w:r>
          </w:p>
        </w:tc>
        <w:tc>
          <w:tcPr>
            <w:tcW w:w="914" w:type="pct"/>
            <w:tcBorders>
              <w:top w:val="single" w:color="auto" w:sz="4" w:space="0"/>
              <w:left w:val="single" w:color="auto" w:sz="4" w:space="0"/>
              <w:bottom w:val="single" w:color="auto" w:sz="4" w:space="0"/>
              <w:right w:val="single" w:color="auto" w:sz="4" w:space="0"/>
            </w:tcBorders>
            <w:noWrap w:val="0"/>
            <w:vAlign w:val="center"/>
          </w:tcPr>
          <w:p w14:paraId="4D09E7CA">
            <w:pPr>
              <w:spacing w:line="276" w:lineRule="auto"/>
              <w:jc w:val="center"/>
              <w:rPr>
                <w:sz w:val="18"/>
                <w:szCs w:val="18"/>
              </w:rPr>
            </w:pPr>
            <w:r>
              <w:rPr>
                <w:sz w:val="18"/>
                <w:szCs w:val="18"/>
              </w:rPr>
              <w:t>煤</w:t>
            </w:r>
          </w:p>
        </w:tc>
        <w:tc>
          <w:tcPr>
            <w:tcW w:w="729" w:type="pct"/>
            <w:tcBorders>
              <w:top w:val="single" w:color="auto" w:sz="4" w:space="0"/>
              <w:left w:val="single" w:color="auto" w:sz="4" w:space="0"/>
              <w:bottom w:val="single" w:color="auto" w:sz="4" w:space="0"/>
              <w:right w:val="single" w:color="auto" w:sz="4" w:space="0"/>
            </w:tcBorders>
            <w:noWrap w:val="0"/>
            <w:vAlign w:val="center"/>
          </w:tcPr>
          <w:p w14:paraId="215D446C">
            <w:pPr>
              <w:spacing w:line="276" w:lineRule="auto"/>
              <w:jc w:val="center"/>
              <w:rPr>
                <w:sz w:val="18"/>
                <w:szCs w:val="18"/>
              </w:rPr>
            </w:pPr>
          </w:p>
        </w:tc>
        <w:tc>
          <w:tcPr>
            <w:tcW w:w="729" w:type="pct"/>
            <w:tcBorders>
              <w:top w:val="single" w:color="auto" w:sz="4" w:space="0"/>
              <w:left w:val="single" w:color="auto" w:sz="4" w:space="0"/>
              <w:bottom w:val="single" w:color="auto" w:sz="4" w:space="0"/>
              <w:right w:val="single" w:color="auto" w:sz="4" w:space="0"/>
            </w:tcBorders>
            <w:noWrap w:val="0"/>
            <w:vAlign w:val="center"/>
          </w:tcPr>
          <w:p w14:paraId="0017A23A">
            <w:pPr>
              <w:spacing w:line="276" w:lineRule="auto"/>
              <w:jc w:val="center"/>
              <w:rPr>
                <w:sz w:val="18"/>
                <w:szCs w:val="18"/>
              </w:rPr>
            </w:pPr>
          </w:p>
        </w:tc>
        <w:tc>
          <w:tcPr>
            <w:tcW w:w="730" w:type="pct"/>
            <w:tcBorders>
              <w:top w:val="single" w:color="auto" w:sz="4" w:space="0"/>
              <w:left w:val="single" w:color="auto" w:sz="4" w:space="0"/>
              <w:bottom w:val="single" w:color="auto" w:sz="4" w:space="0"/>
              <w:right w:val="single" w:color="auto" w:sz="4" w:space="0"/>
            </w:tcBorders>
            <w:noWrap w:val="0"/>
            <w:vAlign w:val="center"/>
          </w:tcPr>
          <w:p w14:paraId="7CF12E34">
            <w:pPr>
              <w:spacing w:line="276" w:lineRule="auto"/>
              <w:jc w:val="center"/>
              <w:rPr>
                <w:sz w:val="18"/>
                <w:szCs w:val="18"/>
              </w:rPr>
            </w:pPr>
          </w:p>
        </w:tc>
        <w:tc>
          <w:tcPr>
            <w:tcW w:w="730" w:type="pct"/>
            <w:tcBorders>
              <w:top w:val="single" w:color="auto" w:sz="4" w:space="0"/>
              <w:left w:val="single" w:color="auto" w:sz="4" w:space="0"/>
              <w:bottom w:val="single" w:color="auto" w:sz="4" w:space="0"/>
              <w:right w:val="single" w:color="auto" w:sz="4" w:space="0"/>
            </w:tcBorders>
            <w:noWrap w:val="0"/>
            <w:vAlign w:val="center"/>
          </w:tcPr>
          <w:p w14:paraId="4F501F5D">
            <w:pPr>
              <w:spacing w:line="276" w:lineRule="auto"/>
              <w:jc w:val="center"/>
              <w:rPr>
                <w:sz w:val="18"/>
                <w:szCs w:val="18"/>
              </w:rPr>
            </w:pPr>
          </w:p>
        </w:tc>
        <w:tc>
          <w:tcPr>
            <w:tcW w:w="730" w:type="pct"/>
            <w:tcBorders>
              <w:top w:val="single" w:color="auto" w:sz="4" w:space="0"/>
              <w:left w:val="single" w:color="auto" w:sz="4" w:space="0"/>
              <w:bottom w:val="single" w:color="auto" w:sz="4" w:space="0"/>
              <w:right w:val="single" w:color="auto" w:sz="4" w:space="0"/>
            </w:tcBorders>
            <w:noWrap w:val="0"/>
            <w:vAlign w:val="center"/>
          </w:tcPr>
          <w:p w14:paraId="26E75532">
            <w:pPr>
              <w:spacing w:line="276" w:lineRule="auto"/>
              <w:jc w:val="center"/>
              <w:rPr>
                <w:sz w:val="18"/>
                <w:szCs w:val="18"/>
              </w:rPr>
            </w:pPr>
          </w:p>
        </w:tc>
      </w:tr>
      <w:tr w14:paraId="3428D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14:paraId="54D05C5E">
            <w:pPr>
              <w:widowControl/>
              <w:spacing w:line="276" w:lineRule="auto"/>
              <w:jc w:val="center"/>
              <w:rPr>
                <w:sz w:val="18"/>
                <w:szCs w:val="21"/>
              </w:rPr>
            </w:pPr>
          </w:p>
        </w:tc>
        <w:tc>
          <w:tcPr>
            <w:tcW w:w="914" w:type="pct"/>
            <w:tcBorders>
              <w:top w:val="single" w:color="auto" w:sz="4" w:space="0"/>
              <w:left w:val="single" w:color="auto" w:sz="4" w:space="0"/>
              <w:bottom w:val="single" w:color="auto" w:sz="4" w:space="0"/>
              <w:right w:val="single" w:color="auto" w:sz="4" w:space="0"/>
            </w:tcBorders>
            <w:noWrap w:val="0"/>
            <w:vAlign w:val="center"/>
          </w:tcPr>
          <w:p w14:paraId="36D8677B">
            <w:pPr>
              <w:spacing w:line="276" w:lineRule="auto"/>
              <w:jc w:val="center"/>
              <w:rPr>
                <w:sz w:val="18"/>
                <w:szCs w:val="18"/>
              </w:rPr>
            </w:pPr>
            <w:r>
              <w:rPr>
                <w:sz w:val="18"/>
                <w:szCs w:val="18"/>
              </w:rPr>
              <w:t>汽油</w:t>
            </w:r>
          </w:p>
        </w:tc>
        <w:tc>
          <w:tcPr>
            <w:tcW w:w="729" w:type="pct"/>
            <w:tcBorders>
              <w:top w:val="single" w:color="auto" w:sz="4" w:space="0"/>
              <w:left w:val="single" w:color="auto" w:sz="4" w:space="0"/>
              <w:bottom w:val="single" w:color="auto" w:sz="4" w:space="0"/>
              <w:right w:val="single" w:color="auto" w:sz="4" w:space="0"/>
            </w:tcBorders>
            <w:noWrap w:val="0"/>
            <w:vAlign w:val="center"/>
          </w:tcPr>
          <w:p w14:paraId="2516100F">
            <w:pPr>
              <w:spacing w:line="276" w:lineRule="auto"/>
              <w:jc w:val="center"/>
              <w:rPr>
                <w:sz w:val="18"/>
                <w:szCs w:val="18"/>
              </w:rPr>
            </w:pPr>
          </w:p>
        </w:tc>
        <w:tc>
          <w:tcPr>
            <w:tcW w:w="729" w:type="pct"/>
            <w:tcBorders>
              <w:top w:val="single" w:color="auto" w:sz="4" w:space="0"/>
              <w:left w:val="single" w:color="auto" w:sz="4" w:space="0"/>
              <w:bottom w:val="single" w:color="auto" w:sz="4" w:space="0"/>
              <w:right w:val="single" w:color="auto" w:sz="4" w:space="0"/>
            </w:tcBorders>
            <w:noWrap w:val="0"/>
            <w:vAlign w:val="center"/>
          </w:tcPr>
          <w:p w14:paraId="60D5DF9E">
            <w:pPr>
              <w:spacing w:line="276" w:lineRule="auto"/>
              <w:jc w:val="center"/>
              <w:rPr>
                <w:sz w:val="18"/>
                <w:szCs w:val="18"/>
              </w:rPr>
            </w:pPr>
          </w:p>
        </w:tc>
        <w:tc>
          <w:tcPr>
            <w:tcW w:w="730" w:type="pct"/>
            <w:tcBorders>
              <w:top w:val="single" w:color="auto" w:sz="4" w:space="0"/>
              <w:left w:val="single" w:color="auto" w:sz="4" w:space="0"/>
              <w:bottom w:val="single" w:color="auto" w:sz="4" w:space="0"/>
              <w:right w:val="single" w:color="auto" w:sz="4" w:space="0"/>
            </w:tcBorders>
            <w:noWrap w:val="0"/>
            <w:vAlign w:val="center"/>
          </w:tcPr>
          <w:p w14:paraId="3CA67A14">
            <w:pPr>
              <w:spacing w:line="276" w:lineRule="auto"/>
              <w:jc w:val="center"/>
              <w:rPr>
                <w:sz w:val="18"/>
                <w:szCs w:val="18"/>
              </w:rPr>
            </w:pPr>
          </w:p>
        </w:tc>
        <w:tc>
          <w:tcPr>
            <w:tcW w:w="730" w:type="pct"/>
            <w:tcBorders>
              <w:top w:val="single" w:color="auto" w:sz="4" w:space="0"/>
              <w:left w:val="single" w:color="auto" w:sz="4" w:space="0"/>
              <w:bottom w:val="single" w:color="auto" w:sz="4" w:space="0"/>
              <w:right w:val="single" w:color="auto" w:sz="4" w:space="0"/>
            </w:tcBorders>
            <w:noWrap w:val="0"/>
            <w:vAlign w:val="center"/>
          </w:tcPr>
          <w:p w14:paraId="2A7D84BA">
            <w:pPr>
              <w:spacing w:line="276" w:lineRule="auto"/>
              <w:jc w:val="center"/>
              <w:rPr>
                <w:sz w:val="18"/>
                <w:szCs w:val="18"/>
              </w:rPr>
            </w:pPr>
          </w:p>
        </w:tc>
        <w:tc>
          <w:tcPr>
            <w:tcW w:w="730" w:type="pct"/>
            <w:tcBorders>
              <w:top w:val="single" w:color="auto" w:sz="4" w:space="0"/>
              <w:left w:val="single" w:color="auto" w:sz="4" w:space="0"/>
              <w:bottom w:val="single" w:color="auto" w:sz="4" w:space="0"/>
              <w:right w:val="single" w:color="auto" w:sz="4" w:space="0"/>
            </w:tcBorders>
            <w:noWrap w:val="0"/>
            <w:vAlign w:val="center"/>
          </w:tcPr>
          <w:p w14:paraId="4421113F">
            <w:pPr>
              <w:spacing w:line="276" w:lineRule="auto"/>
              <w:jc w:val="center"/>
              <w:rPr>
                <w:sz w:val="18"/>
                <w:szCs w:val="18"/>
              </w:rPr>
            </w:pPr>
          </w:p>
        </w:tc>
      </w:tr>
      <w:tr w14:paraId="6372F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14:paraId="0732959A">
            <w:pPr>
              <w:widowControl/>
              <w:spacing w:line="276" w:lineRule="auto"/>
              <w:jc w:val="center"/>
              <w:rPr>
                <w:sz w:val="18"/>
                <w:szCs w:val="21"/>
              </w:rPr>
            </w:pPr>
          </w:p>
        </w:tc>
        <w:tc>
          <w:tcPr>
            <w:tcW w:w="914" w:type="pct"/>
            <w:tcBorders>
              <w:top w:val="single" w:color="auto" w:sz="4" w:space="0"/>
              <w:left w:val="single" w:color="auto" w:sz="4" w:space="0"/>
              <w:bottom w:val="single" w:color="auto" w:sz="4" w:space="0"/>
              <w:right w:val="single" w:color="auto" w:sz="4" w:space="0"/>
            </w:tcBorders>
            <w:noWrap w:val="0"/>
            <w:vAlign w:val="center"/>
          </w:tcPr>
          <w:p w14:paraId="635F9749">
            <w:pPr>
              <w:spacing w:line="276" w:lineRule="auto"/>
              <w:jc w:val="center"/>
              <w:rPr>
                <w:sz w:val="18"/>
                <w:szCs w:val="18"/>
              </w:rPr>
            </w:pPr>
            <w:r>
              <w:rPr>
                <w:sz w:val="18"/>
                <w:szCs w:val="18"/>
              </w:rPr>
              <w:t>柴油</w:t>
            </w:r>
          </w:p>
        </w:tc>
        <w:tc>
          <w:tcPr>
            <w:tcW w:w="729" w:type="pct"/>
            <w:tcBorders>
              <w:top w:val="single" w:color="auto" w:sz="4" w:space="0"/>
              <w:left w:val="single" w:color="auto" w:sz="4" w:space="0"/>
              <w:bottom w:val="single" w:color="auto" w:sz="4" w:space="0"/>
              <w:right w:val="single" w:color="auto" w:sz="4" w:space="0"/>
            </w:tcBorders>
            <w:noWrap w:val="0"/>
            <w:vAlign w:val="center"/>
          </w:tcPr>
          <w:p w14:paraId="3B1478BE">
            <w:pPr>
              <w:spacing w:line="276" w:lineRule="auto"/>
              <w:jc w:val="center"/>
              <w:rPr>
                <w:sz w:val="18"/>
                <w:szCs w:val="18"/>
              </w:rPr>
            </w:pPr>
          </w:p>
        </w:tc>
        <w:tc>
          <w:tcPr>
            <w:tcW w:w="729" w:type="pct"/>
            <w:tcBorders>
              <w:top w:val="single" w:color="auto" w:sz="4" w:space="0"/>
              <w:left w:val="single" w:color="auto" w:sz="4" w:space="0"/>
              <w:bottom w:val="single" w:color="auto" w:sz="4" w:space="0"/>
              <w:right w:val="single" w:color="auto" w:sz="4" w:space="0"/>
            </w:tcBorders>
            <w:noWrap w:val="0"/>
            <w:vAlign w:val="center"/>
          </w:tcPr>
          <w:p w14:paraId="3BA0390B">
            <w:pPr>
              <w:spacing w:line="276" w:lineRule="auto"/>
              <w:jc w:val="center"/>
              <w:rPr>
                <w:sz w:val="18"/>
                <w:szCs w:val="18"/>
              </w:rPr>
            </w:pPr>
          </w:p>
        </w:tc>
        <w:tc>
          <w:tcPr>
            <w:tcW w:w="730" w:type="pct"/>
            <w:tcBorders>
              <w:top w:val="single" w:color="auto" w:sz="4" w:space="0"/>
              <w:left w:val="single" w:color="auto" w:sz="4" w:space="0"/>
              <w:bottom w:val="single" w:color="auto" w:sz="4" w:space="0"/>
              <w:right w:val="single" w:color="auto" w:sz="4" w:space="0"/>
            </w:tcBorders>
            <w:noWrap w:val="0"/>
            <w:vAlign w:val="center"/>
          </w:tcPr>
          <w:p w14:paraId="6E527E64">
            <w:pPr>
              <w:spacing w:line="276" w:lineRule="auto"/>
              <w:jc w:val="center"/>
              <w:rPr>
                <w:sz w:val="18"/>
                <w:szCs w:val="18"/>
              </w:rPr>
            </w:pPr>
          </w:p>
        </w:tc>
        <w:tc>
          <w:tcPr>
            <w:tcW w:w="730" w:type="pct"/>
            <w:tcBorders>
              <w:top w:val="single" w:color="auto" w:sz="4" w:space="0"/>
              <w:left w:val="single" w:color="auto" w:sz="4" w:space="0"/>
              <w:bottom w:val="single" w:color="auto" w:sz="4" w:space="0"/>
              <w:right w:val="single" w:color="auto" w:sz="4" w:space="0"/>
            </w:tcBorders>
            <w:noWrap w:val="0"/>
            <w:vAlign w:val="center"/>
          </w:tcPr>
          <w:p w14:paraId="4AC6DF52">
            <w:pPr>
              <w:spacing w:line="276" w:lineRule="auto"/>
              <w:jc w:val="center"/>
              <w:rPr>
                <w:sz w:val="18"/>
                <w:szCs w:val="18"/>
              </w:rPr>
            </w:pPr>
          </w:p>
        </w:tc>
        <w:tc>
          <w:tcPr>
            <w:tcW w:w="730" w:type="pct"/>
            <w:tcBorders>
              <w:top w:val="single" w:color="auto" w:sz="4" w:space="0"/>
              <w:left w:val="single" w:color="auto" w:sz="4" w:space="0"/>
              <w:bottom w:val="single" w:color="auto" w:sz="4" w:space="0"/>
              <w:right w:val="single" w:color="auto" w:sz="4" w:space="0"/>
            </w:tcBorders>
            <w:noWrap w:val="0"/>
            <w:vAlign w:val="center"/>
          </w:tcPr>
          <w:p w14:paraId="5DC44348">
            <w:pPr>
              <w:spacing w:line="276" w:lineRule="auto"/>
              <w:jc w:val="center"/>
              <w:rPr>
                <w:sz w:val="18"/>
                <w:szCs w:val="18"/>
              </w:rPr>
            </w:pPr>
          </w:p>
        </w:tc>
      </w:tr>
      <w:tr w14:paraId="68709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14:paraId="58B3C4CD">
            <w:pPr>
              <w:widowControl/>
              <w:spacing w:line="276" w:lineRule="auto"/>
              <w:jc w:val="center"/>
              <w:rPr>
                <w:sz w:val="18"/>
                <w:szCs w:val="21"/>
              </w:rPr>
            </w:pPr>
          </w:p>
        </w:tc>
        <w:tc>
          <w:tcPr>
            <w:tcW w:w="914" w:type="pct"/>
            <w:tcBorders>
              <w:top w:val="single" w:color="auto" w:sz="4" w:space="0"/>
              <w:left w:val="single" w:color="auto" w:sz="4" w:space="0"/>
              <w:bottom w:val="single" w:color="auto" w:sz="4" w:space="0"/>
              <w:right w:val="single" w:color="auto" w:sz="4" w:space="0"/>
            </w:tcBorders>
            <w:noWrap w:val="0"/>
            <w:vAlign w:val="center"/>
          </w:tcPr>
          <w:p w14:paraId="213541C7">
            <w:pPr>
              <w:spacing w:line="276" w:lineRule="auto"/>
              <w:jc w:val="center"/>
              <w:rPr>
                <w:sz w:val="18"/>
                <w:szCs w:val="18"/>
              </w:rPr>
            </w:pPr>
            <w:r>
              <w:rPr>
                <w:sz w:val="18"/>
                <w:szCs w:val="18"/>
              </w:rPr>
              <w:t>天然气</w:t>
            </w:r>
          </w:p>
        </w:tc>
        <w:tc>
          <w:tcPr>
            <w:tcW w:w="729" w:type="pct"/>
            <w:tcBorders>
              <w:top w:val="single" w:color="auto" w:sz="4" w:space="0"/>
              <w:left w:val="single" w:color="auto" w:sz="4" w:space="0"/>
              <w:bottom w:val="single" w:color="auto" w:sz="4" w:space="0"/>
              <w:right w:val="single" w:color="auto" w:sz="4" w:space="0"/>
            </w:tcBorders>
            <w:noWrap w:val="0"/>
            <w:vAlign w:val="center"/>
          </w:tcPr>
          <w:p w14:paraId="1D5C9F30">
            <w:pPr>
              <w:spacing w:line="276" w:lineRule="auto"/>
              <w:jc w:val="center"/>
              <w:rPr>
                <w:sz w:val="18"/>
                <w:szCs w:val="18"/>
              </w:rPr>
            </w:pPr>
          </w:p>
        </w:tc>
        <w:tc>
          <w:tcPr>
            <w:tcW w:w="729" w:type="pct"/>
            <w:tcBorders>
              <w:top w:val="single" w:color="auto" w:sz="4" w:space="0"/>
              <w:left w:val="single" w:color="auto" w:sz="4" w:space="0"/>
              <w:bottom w:val="single" w:color="auto" w:sz="4" w:space="0"/>
              <w:right w:val="single" w:color="auto" w:sz="4" w:space="0"/>
            </w:tcBorders>
            <w:noWrap w:val="0"/>
            <w:vAlign w:val="center"/>
          </w:tcPr>
          <w:p w14:paraId="0DC18C81">
            <w:pPr>
              <w:spacing w:line="276" w:lineRule="auto"/>
              <w:jc w:val="center"/>
              <w:rPr>
                <w:sz w:val="18"/>
                <w:szCs w:val="18"/>
              </w:rPr>
            </w:pPr>
          </w:p>
        </w:tc>
        <w:tc>
          <w:tcPr>
            <w:tcW w:w="730" w:type="pct"/>
            <w:tcBorders>
              <w:top w:val="single" w:color="auto" w:sz="4" w:space="0"/>
              <w:left w:val="single" w:color="auto" w:sz="4" w:space="0"/>
              <w:bottom w:val="single" w:color="auto" w:sz="4" w:space="0"/>
              <w:right w:val="single" w:color="auto" w:sz="4" w:space="0"/>
            </w:tcBorders>
            <w:noWrap w:val="0"/>
            <w:vAlign w:val="center"/>
          </w:tcPr>
          <w:p w14:paraId="2B07F17B">
            <w:pPr>
              <w:spacing w:line="276" w:lineRule="auto"/>
              <w:jc w:val="center"/>
              <w:rPr>
                <w:sz w:val="18"/>
                <w:szCs w:val="18"/>
              </w:rPr>
            </w:pPr>
          </w:p>
        </w:tc>
        <w:tc>
          <w:tcPr>
            <w:tcW w:w="730" w:type="pct"/>
            <w:tcBorders>
              <w:top w:val="single" w:color="auto" w:sz="4" w:space="0"/>
              <w:left w:val="single" w:color="auto" w:sz="4" w:space="0"/>
              <w:bottom w:val="single" w:color="auto" w:sz="4" w:space="0"/>
              <w:right w:val="single" w:color="auto" w:sz="4" w:space="0"/>
            </w:tcBorders>
            <w:noWrap w:val="0"/>
            <w:vAlign w:val="center"/>
          </w:tcPr>
          <w:p w14:paraId="5C812697">
            <w:pPr>
              <w:spacing w:line="276" w:lineRule="auto"/>
              <w:jc w:val="center"/>
              <w:rPr>
                <w:sz w:val="18"/>
                <w:szCs w:val="18"/>
              </w:rPr>
            </w:pPr>
          </w:p>
        </w:tc>
        <w:tc>
          <w:tcPr>
            <w:tcW w:w="730" w:type="pct"/>
            <w:tcBorders>
              <w:top w:val="single" w:color="auto" w:sz="4" w:space="0"/>
              <w:left w:val="single" w:color="auto" w:sz="4" w:space="0"/>
              <w:bottom w:val="single" w:color="auto" w:sz="4" w:space="0"/>
              <w:right w:val="single" w:color="auto" w:sz="4" w:space="0"/>
            </w:tcBorders>
            <w:noWrap w:val="0"/>
            <w:vAlign w:val="center"/>
          </w:tcPr>
          <w:p w14:paraId="069AC6F9">
            <w:pPr>
              <w:spacing w:line="276" w:lineRule="auto"/>
              <w:jc w:val="center"/>
              <w:rPr>
                <w:sz w:val="18"/>
                <w:szCs w:val="18"/>
              </w:rPr>
            </w:pPr>
          </w:p>
        </w:tc>
      </w:tr>
      <w:tr w14:paraId="3D9E5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14:paraId="5AC7260B">
            <w:pPr>
              <w:widowControl/>
              <w:spacing w:line="276" w:lineRule="auto"/>
              <w:jc w:val="center"/>
              <w:rPr>
                <w:sz w:val="18"/>
                <w:szCs w:val="21"/>
              </w:rPr>
            </w:pPr>
          </w:p>
        </w:tc>
        <w:tc>
          <w:tcPr>
            <w:tcW w:w="914" w:type="pct"/>
            <w:tcBorders>
              <w:top w:val="single" w:color="auto" w:sz="4" w:space="0"/>
              <w:left w:val="single" w:color="auto" w:sz="4" w:space="0"/>
              <w:bottom w:val="single" w:color="auto" w:sz="4" w:space="0"/>
              <w:right w:val="single" w:color="auto" w:sz="4" w:space="0"/>
            </w:tcBorders>
            <w:noWrap w:val="0"/>
            <w:vAlign w:val="center"/>
          </w:tcPr>
          <w:p w14:paraId="08AD125E">
            <w:pPr>
              <w:spacing w:line="276" w:lineRule="auto"/>
              <w:jc w:val="center"/>
              <w:rPr>
                <w:sz w:val="18"/>
                <w:szCs w:val="18"/>
              </w:rPr>
            </w:pPr>
            <w:r>
              <w:rPr>
                <w:sz w:val="18"/>
                <w:szCs w:val="18"/>
              </w:rPr>
              <w:t>电力</w:t>
            </w:r>
          </w:p>
        </w:tc>
        <w:tc>
          <w:tcPr>
            <w:tcW w:w="729" w:type="pct"/>
            <w:tcBorders>
              <w:top w:val="single" w:color="auto" w:sz="4" w:space="0"/>
              <w:left w:val="single" w:color="auto" w:sz="4" w:space="0"/>
              <w:bottom w:val="single" w:color="auto" w:sz="4" w:space="0"/>
              <w:right w:val="single" w:color="auto" w:sz="4" w:space="0"/>
            </w:tcBorders>
            <w:noWrap w:val="0"/>
            <w:vAlign w:val="center"/>
          </w:tcPr>
          <w:p w14:paraId="74D46013">
            <w:pPr>
              <w:spacing w:line="276" w:lineRule="auto"/>
              <w:jc w:val="center"/>
              <w:rPr>
                <w:sz w:val="18"/>
                <w:szCs w:val="18"/>
              </w:rPr>
            </w:pPr>
          </w:p>
        </w:tc>
        <w:tc>
          <w:tcPr>
            <w:tcW w:w="729" w:type="pct"/>
            <w:tcBorders>
              <w:top w:val="single" w:color="auto" w:sz="4" w:space="0"/>
              <w:left w:val="single" w:color="auto" w:sz="4" w:space="0"/>
              <w:bottom w:val="single" w:color="auto" w:sz="4" w:space="0"/>
              <w:right w:val="single" w:color="auto" w:sz="4" w:space="0"/>
            </w:tcBorders>
            <w:noWrap w:val="0"/>
            <w:vAlign w:val="center"/>
          </w:tcPr>
          <w:p w14:paraId="02A833A1">
            <w:pPr>
              <w:spacing w:line="276" w:lineRule="auto"/>
              <w:jc w:val="center"/>
              <w:rPr>
                <w:sz w:val="18"/>
                <w:szCs w:val="18"/>
              </w:rPr>
            </w:pPr>
          </w:p>
        </w:tc>
        <w:tc>
          <w:tcPr>
            <w:tcW w:w="730" w:type="pct"/>
            <w:tcBorders>
              <w:top w:val="single" w:color="auto" w:sz="4" w:space="0"/>
              <w:left w:val="single" w:color="auto" w:sz="4" w:space="0"/>
              <w:bottom w:val="single" w:color="auto" w:sz="4" w:space="0"/>
              <w:right w:val="single" w:color="auto" w:sz="4" w:space="0"/>
            </w:tcBorders>
            <w:noWrap w:val="0"/>
            <w:vAlign w:val="center"/>
          </w:tcPr>
          <w:p w14:paraId="56137700">
            <w:pPr>
              <w:spacing w:line="276" w:lineRule="auto"/>
              <w:jc w:val="center"/>
              <w:rPr>
                <w:sz w:val="18"/>
                <w:szCs w:val="18"/>
              </w:rPr>
            </w:pPr>
          </w:p>
        </w:tc>
        <w:tc>
          <w:tcPr>
            <w:tcW w:w="730" w:type="pct"/>
            <w:tcBorders>
              <w:top w:val="single" w:color="auto" w:sz="4" w:space="0"/>
              <w:left w:val="single" w:color="auto" w:sz="4" w:space="0"/>
              <w:bottom w:val="single" w:color="auto" w:sz="4" w:space="0"/>
              <w:right w:val="single" w:color="auto" w:sz="4" w:space="0"/>
            </w:tcBorders>
            <w:noWrap w:val="0"/>
            <w:vAlign w:val="center"/>
          </w:tcPr>
          <w:p w14:paraId="6BF9651C">
            <w:pPr>
              <w:spacing w:line="276" w:lineRule="auto"/>
              <w:jc w:val="center"/>
              <w:rPr>
                <w:sz w:val="18"/>
                <w:szCs w:val="18"/>
              </w:rPr>
            </w:pPr>
          </w:p>
        </w:tc>
        <w:tc>
          <w:tcPr>
            <w:tcW w:w="730" w:type="pct"/>
            <w:tcBorders>
              <w:top w:val="single" w:color="auto" w:sz="4" w:space="0"/>
              <w:left w:val="single" w:color="auto" w:sz="4" w:space="0"/>
              <w:bottom w:val="single" w:color="auto" w:sz="4" w:space="0"/>
              <w:right w:val="single" w:color="auto" w:sz="4" w:space="0"/>
            </w:tcBorders>
            <w:noWrap w:val="0"/>
            <w:vAlign w:val="center"/>
          </w:tcPr>
          <w:p w14:paraId="7B6E5879">
            <w:pPr>
              <w:spacing w:line="276" w:lineRule="auto"/>
              <w:jc w:val="center"/>
              <w:rPr>
                <w:sz w:val="18"/>
                <w:szCs w:val="18"/>
              </w:rPr>
            </w:pPr>
          </w:p>
        </w:tc>
      </w:tr>
      <w:tr w14:paraId="014BC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14:paraId="22BFD6C5">
            <w:pPr>
              <w:widowControl/>
              <w:spacing w:line="276" w:lineRule="auto"/>
              <w:jc w:val="center"/>
              <w:rPr>
                <w:sz w:val="18"/>
                <w:szCs w:val="21"/>
              </w:rPr>
            </w:pPr>
          </w:p>
        </w:tc>
        <w:tc>
          <w:tcPr>
            <w:tcW w:w="914" w:type="pct"/>
            <w:tcBorders>
              <w:top w:val="single" w:color="auto" w:sz="4" w:space="0"/>
              <w:left w:val="single" w:color="auto" w:sz="4" w:space="0"/>
              <w:bottom w:val="single" w:color="auto" w:sz="4" w:space="0"/>
              <w:right w:val="single" w:color="auto" w:sz="4" w:space="0"/>
            </w:tcBorders>
            <w:noWrap w:val="0"/>
            <w:vAlign w:val="center"/>
          </w:tcPr>
          <w:p w14:paraId="44A3E56A">
            <w:pPr>
              <w:spacing w:line="276" w:lineRule="auto"/>
              <w:jc w:val="center"/>
              <w:rPr>
                <w:sz w:val="18"/>
                <w:szCs w:val="18"/>
              </w:rPr>
            </w:pPr>
            <w:r>
              <w:rPr>
                <w:sz w:val="18"/>
                <w:szCs w:val="18"/>
              </w:rPr>
              <w:t>其他</w:t>
            </w:r>
          </w:p>
        </w:tc>
        <w:tc>
          <w:tcPr>
            <w:tcW w:w="729" w:type="pct"/>
            <w:tcBorders>
              <w:top w:val="single" w:color="auto" w:sz="4" w:space="0"/>
              <w:left w:val="single" w:color="auto" w:sz="4" w:space="0"/>
              <w:bottom w:val="single" w:color="auto" w:sz="4" w:space="0"/>
              <w:right w:val="single" w:color="auto" w:sz="4" w:space="0"/>
            </w:tcBorders>
            <w:noWrap w:val="0"/>
            <w:vAlign w:val="center"/>
          </w:tcPr>
          <w:p w14:paraId="6D628046">
            <w:pPr>
              <w:spacing w:line="276" w:lineRule="auto"/>
              <w:jc w:val="center"/>
              <w:rPr>
                <w:sz w:val="18"/>
                <w:szCs w:val="18"/>
              </w:rPr>
            </w:pPr>
          </w:p>
        </w:tc>
        <w:tc>
          <w:tcPr>
            <w:tcW w:w="729" w:type="pct"/>
            <w:tcBorders>
              <w:top w:val="single" w:color="auto" w:sz="4" w:space="0"/>
              <w:left w:val="single" w:color="auto" w:sz="4" w:space="0"/>
              <w:bottom w:val="single" w:color="auto" w:sz="4" w:space="0"/>
              <w:right w:val="single" w:color="auto" w:sz="4" w:space="0"/>
            </w:tcBorders>
            <w:noWrap w:val="0"/>
            <w:vAlign w:val="center"/>
          </w:tcPr>
          <w:p w14:paraId="328AC3A7">
            <w:pPr>
              <w:spacing w:line="276" w:lineRule="auto"/>
              <w:jc w:val="center"/>
              <w:rPr>
                <w:sz w:val="18"/>
                <w:szCs w:val="18"/>
              </w:rPr>
            </w:pPr>
          </w:p>
        </w:tc>
        <w:tc>
          <w:tcPr>
            <w:tcW w:w="730" w:type="pct"/>
            <w:tcBorders>
              <w:top w:val="single" w:color="auto" w:sz="4" w:space="0"/>
              <w:left w:val="single" w:color="auto" w:sz="4" w:space="0"/>
              <w:bottom w:val="single" w:color="auto" w:sz="4" w:space="0"/>
              <w:right w:val="single" w:color="auto" w:sz="4" w:space="0"/>
            </w:tcBorders>
            <w:noWrap w:val="0"/>
            <w:vAlign w:val="center"/>
          </w:tcPr>
          <w:p w14:paraId="1599B8AB">
            <w:pPr>
              <w:spacing w:line="276" w:lineRule="auto"/>
              <w:jc w:val="center"/>
              <w:rPr>
                <w:sz w:val="18"/>
                <w:szCs w:val="18"/>
              </w:rPr>
            </w:pPr>
          </w:p>
        </w:tc>
        <w:tc>
          <w:tcPr>
            <w:tcW w:w="730" w:type="pct"/>
            <w:tcBorders>
              <w:top w:val="single" w:color="auto" w:sz="4" w:space="0"/>
              <w:left w:val="single" w:color="auto" w:sz="4" w:space="0"/>
              <w:bottom w:val="single" w:color="auto" w:sz="4" w:space="0"/>
              <w:right w:val="single" w:color="auto" w:sz="4" w:space="0"/>
            </w:tcBorders>
            <w:noWrap w:val="0"/>
            <w:vAlign w:val="center"/>
          </w:tcPr>
          <w:p w14:paraId="437B57BB">
            <w:pPr>
              <w:spacing w:line="276" w:lineRule="auto"/>
              <w:jc w:val="center"/>
              <w:rPr>
                <w:sz w:val="18"/>
                <w:szCs w:val="18"/>
              </w:rPr>
            </w:pPr>
          </w:p>
        </w:tc>
        <w:tc>
          <w:tcPr>
            <w:tcW w:w="730" w:type="pct"/>
            <w:tcBorders>
              <w:top w:val="single" w:color="auto" w:sz="4" w:space="0"/>
              <w:left w:val="single" w:color="auto" w:sz="4" w:space="0"/>
              <w:bottom w:val="single" w:color="auto" w:sz="4" w:space="0"/>
              <w:right w:val="single" w:color="auto" w:sz="4" w:space="0"/>
            </w:tcBorders>
            <w:noWrap w:val="0"/>
            <w:vAlign w:val="center"/>
          </w:tcPr>
          <w:p w14:paraId="1EDA8DD7">
            <w:pPr>
              <w:spacing w:line="276" w:lineRule="auto"/>
              <w:jc w:val="center"/>
              <w:rPr>
                <w:sz w:val="18"/>
                <w:szCs w:val="18"/>
              </w:rPr>
            </w:pPr>
          </w:p>
        </w:tc>
      </w:tr>
      <w:tr w14:paraId="740E4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35" w:type="pct"/>
            <w:vMerge w:val="restart"/>
            <w:tcBorders>
              <w:top w:val="single" w:color="auto" w:sz="4" w:space="0"/>
              <w:left w:val="single" w:color="auto" w:sz="4" w:space="0"/>
              <w:right w:val="single" w:color="auto" w:sz="4" w:space="0"/>
            </w:tcBorders>
            <w:noWrap w:val="0"/>
            <w:vAlign w:val="center"/>
          </w:tcPr>
          <w:p w14:paraId="589AB262">
            <w:pPr>
              <w:spacing w:line="276" w:lineRule="auto"/>
              <w:jc w:val="center"/>
              <w:rPr>
                <w:sz w:val="18"/>
                <w:szCs w:val="21"/>
              </w:rPr>
            </w:pPr>
            <w:r>
              <w:rPr>
                <w:sz w:val="18"/>
                <w:szCs w:val="21"/>
              </w:rPr>
              <w:t>运输</w:t>
            </w:r>
          </w:p>
        </w:tc>
        <w:tc>
          <w:tcPr>
            <w:tcW w:w="914" w:type="pct"/>
            <w:tcBorders>
              <w:top w:val="single" w:color="auto" w:sz="4" w:space="0"/>
              <w:left w:val="single" w:color="auto" w:sz="4" w:space="0"/>
              <w:bottom w:val="single" w:color="auto" w:sz="4" w:space="0"/>
              <w:right w:val="single" w:color="auto" w:sz="4" w:space="0"/>
            </w:tcBorders>
            <w:noWrap w:val="0"/>
            <w:vAlign w:val="center"/>
          </w:tcPr>
          <w:p w14:paraId="61DBBF3E">
            <w:pPr>
              <w:spacing w:line="276" w:lineRule="auto"/>
              <w:jc w:val="center"/>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公路运输</w:t>
            </w:r>
          </w:p>
        </w:tc>
        <w:tc>
          <w:tcPr>
            <w:tcW w:w="729" w:type="pct"/>
            <w:tcBorders>
              <w:top w:val="single" w:color="auto" w:sz="4" w:space="0"/>
              <w:left w:val="single" w:color="auto" w:sz="4" w:space="0"/>
              <w:bottom w:val="single" w:color="auto" w:sz="4" w:space="0"/>
              <w:right w:val="single" w:color="auto" w:sz="4" w:space="0"/>
            </w:tcBorders>
            <w:noWrap w:val="0"/>
            <w:vAlign w:val="center"/>
          </w:tcPr>
          <w:p w14:paraId="3BAB826C">
            <w:pPr>
              <w:spacing w:line="276" w:lineRule="auto"/>
              <w:jc w:val="center"/>
              <w:rPr>
                <w:sz w:val="18"/>
                <w:szCs w:val="18"/>
              </w:rPr>
            </w:pPr>
          </w:p>
        </w:tc>
        <w:tc>
          <w:tcPr>
            <w:tcW w:w="729" w:type="pct"/>
            <w:tcBorders>
              <w:top w:val="single" w:color="auto" w:sz="4" w:space="0"/>
              <w:left w:val="single" w:color="auto" w:sz="4" w:space="0"/>
              <w:bottom w:val="single" w:color="auto" w:sz="4" w:space="0"/>
              <w:right w:val="single" w:color="auto" w:sz="4" w:space="0"/>
            </w:tcBorders>
            <w:noWrap w:val="0"/>
            <w:vAlign w:val="center"/>
          </w:tcPr>
          <w:p w14:paraId="7F7940CD">
            <w:pPr>
              <w:spacing w:line="276" w:lineRule="auto"/>
              <w:jc w:val="center"/>
              <w:rPr>
                <w:sz w:val="18"/>
                <w:szCs w:val="18"/>
              </w:rPr>
            </w:pPr>
          </w:p>
        </w:tc>
        <w:tc>
          <w:tcPr>
            <w:tcW w:w="730" w:type="pct"/>
            <w:tcBorders>
              <w:top w:val="single" w:color="auto" w:sz="4" w:space="0"/>
              <w:left w:val="single" w:color="auto" w:sz="4" w:space="0"/>
              <w:bottom w:val="single" w:color="auto" w:sz="4" w:space="0"/>
              <w:right w:val="single" w:color="auto" w:sz="4" w:space="0"/>
            </w:tcBorders>
            <w:noWrap w:val="0"/>
            <w:vAlign w:val="center"/>
          </w:tcPr>
          <w:p w14:paraId="6F361DB7">
            <w:pPr>
              <w:spacing w:line="276" w:lineRule="auto"/>
              <w:jc w:val="center"/>
              <w:rPr>
                <w:sz w:val="18"/>
                <w:szCs w:val="18"/>
              </w:rPr>
            </w:pPr>
          </w:p>
        </w:tc>
        <w:tc>
          <w:tcPr>
            <w:tcW w:w="730" w:type="pct"/>
            <w:tcBorders>
              <w:top w:val="single" w:color="auto" w:sz="4" w:space="0"/>
              <w:left w:val="single" w:color="auto" w:sz="4" w:space="0"/>
              <w:bottom w:val="single" w:color="auto" w:sz="4" w:space="0"/>
              <w:right w:val="single" w:color="auto" w:sz="4" w:space="0"/>
            </w:tcBorders>
            <w:noWrap w:val="0"/>
            <w:vAlign w:val="center"/>
          </w:tcPr>
          <w:p w14:paraId="6F82A3D9">
            <w:pPr>
              <w:spacing w:line="276" w:lineRule="auto"/>
              <w:jc w:val="center"/>
              <w:rPr>
                <w:sz w:val="18"/>
                <w:szCs w:val="18"/>
              </w:rPr>
            </w:pPr>
          </w:p>
        </w:tc>
        <w:tc>
          <w:tcPr>
            <w:tcW w:w="730" w:type="pct"/>
            <w:tcBorders>
              <w:top w:val="single" w:color="auto" w:sz="4" w:space="0"/>
              <w:left w:val="single" w:color="auto" w:sz="4" w:space="0"/>
              <w:bottom w:val="single" w:color="auto" w:sz="4" w:space="0"/>
              <w:right w:val="single" w:color="auto" w:sz="4" w:space="0"/>
            </w:tcBorders>
            <w:noWrap w:val="0"/>
            <w:vAlign w:val="center"/>
          </w:tcPr>
          <w:p w14:paraId="1BF581AE">
            <w:pPr>
              <w:spacing w:line="276" w:lineRule="auto"/>
              <w:jc w:val="center"/>
              <w:rPr>
                <w:sz w:val="18"/>
                <w:szCs w:val="18"/>
              </w:rPr>
            </w:pPr>
          </w:p>
        </w:tc>
      </w:tr>
      <w:tr w14:paraId="2EE5B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35" w:type="pct"/>
            <w:vMerge w:val="continue"/>
            <w:tcBorders>
              <w:left w:val="single" w:color="auto" w:sz="4" w:space="0"/>
              <w:right w:val="single" w:color="auto" w:sz="4" w:space="0"/>
            </w:tcBorders>
            <w:noWrap w:val="0"/>
            <w:vAlign w:val="center"/>
          </w:tcPr>
          <w:p w14:paraId="3473BF52">
            <w:pPr>
              <w:widowControl/>
              <w:spacing w:line="276" w:lineRule="auto"/>
              <w:jc w:val="center"/>
              <w:rPr>
                <w:sz w:val="18"/>
                <w:szCs w:val="21"/>
              </w:rPr>
            </w:pPr>
          </w:p>
        </w:tc>
        <w:tc>
          <w:tcPr>
            <w:tcW w:w="914" w:type="pct"/>
            <w:tcBorders>
              <w:top w:val="single" w:color="auto" w:sz="4" w:space="0"/>
              <w:left w:val="single" w:color="auto" w:sz="4" w:space="0"/>
              <w:bottom w:val="single" w:color="auto" w:sz="4" w:space="0"/>
              <w:right w:val="single" w:color="auto" w:sz="4" w:space="0"/>
            </w:tcBorders>
            <w:noWrap w:val="0"/>
            <w:vAlign w:val="center"/>
          </w:tcPr>
          <w:p w14:paraId="3DAD59BC">
            <w:pPr>
              <w:spacing w:line="276" w:lineRule="auto"/>
              <w:jc w:val="center"/>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rPr>
              <w:t>铁路运输</w:t>
            </w:r>
          </w:p>
        </w:tc>
        <w:tc>
          <w:tcPr>
            <w:tcW w:w="729" w:type="pct"/>
            <w:tcBorders>
              <w:top w:val="single" w:color="auto" w:sz="4" w:space="0"/>
              <w:left w:val="single" w:color="auto" w:sz="4" w:space="0"/>
              <w:bottom w:val="single" w:color="auto" w:sz="4" w:space="0"/>
              <w:right w:val="single" w:color="auto" w:sz="4" w:space="0"/>
            </w:tcBorders>
            <w:noWrap w:val="0"/>
            <w:vAlign w:val="center"/>
          </w:tcPr>
          <w:p w14:paraId="0CFACD44">
            <w:pPr>
              <w:spacing w:line="276" w:lineRule="auto"/>
              <w:jc w:val="center"/>
              <w:rPr>
                <w:sz w:val="18"/>
                <w:szCs w:val="18"/>
              </w:rPr>
            </w:pPr>
          </w:p>
        </w:tc>
        <w:tc>
          <w:tcPr>
            <w:tcW w:w="729" w:type="pct"/>
            <w:tcBorders>
              <w:top w:val="single" w:color="auto" w:sz="4" w:space="0"/>
              <w:left w:val="single" w:color="auto" w:sz="4" w:space="0"/>
              <w:bottom w:val="single" w:color="auto" w:sz="4" w:space="0"/>
              <w:right w:val="single" w:color="auto" w:sz="4" w:space="0"/>
            </w:tcBorders>
            <w:noWrap w:val="0"/>
            <w:vAlign w:val="center"/>
          </w:tcPr>
          <w:p w14:paraId="1314E05A">
            <w:pPr>
              <w:spacing w:line="276" w:lineRule="auto"/>
              <w:jc w:val="center"/>
              <w:rPr>
                <w:sz w:val="18"/>
                <w:szCs w:val="18"/>
              </w:rPr>
            </w:pPr>
          </w:p>
        </w:tc>
        <w:tc>
          <w:tcPr>
            <w:tcW w:w="730" w:type="pct"/>
            <w:tcBorders>
              <w:top w:val="single" w:color="auto" w:sz="4" w:space="0"/>
              <w:left w:val="single" w:color="auto" w:sz="4" w:space="0"/>
              <w:bottom w:val="single" w:color="auto" w:sz="4" w:space="0"/>
              <w:right w:val="single" w:color="auto" w:sz="4" w:space="0"/>
            </w:tcBorders>
            <w:noWrap w:val="0"/>
            <w:vAlign w:val="center"/>
          </w:tcPr>
          <w:p w14:paraId="3D516CD1">
            <w:pPr>
              <w:spacing w:line="276" w:lineRule="auto"/>
              <w:jc w:val="center"/>
              <w:rPr>
                <w:sz w:val="18"/>
                <w:szCs w:val="18"/>
              </w:rPr>
            </w:pPr>
          </w:p>
        </w:tc>
        <w:tc>
          <w:tcPr>
            <w:tcW w:w="730" w:type="pct"/>
            <w:tcBorders>
              <w:top w:val="single" w:color="auto" w:sz="4" w:space="0"/>
              <w:left w:val="single" w:color="auto" w:sz="4" w:space="0"/>
              <w:bottom w:val="single" w:color="auto" w:sz="4" w:space="0"/>
              <w:right w:val="single" w:color="auto" w:sz="4" w:space="0"/>
            </w:tcBorders>
            <w:noWrap w:val="0"/>
            <w:vAlign w:val="center"/>
          </w:tcPr>
          <w:p w14:paraId="16FC435D">
            <w:pPr>
              <w:spacing w:line="276" w:lineRule="auto"/>
              <w:jc w:val="center"/>
              <w:rPr>
                <w:sz w:val="18"/>
                <w:szCs w:val="18"/>
              </w:rPr>
            </w:pPr>
          </w:p>
        </w:tc>
        <w:tc>
          <w:tcPr>
            <w:tcW w:w="730" w:type="pct"/>
            <w:tcBorders>
              <w:top w:val="single" w:color="auto" w:sz="4" w:space="0"/>
              <w:left w:val="single" w:color="auto" w:sz="4" w:space="0"/>
              <w:bottom w:val="single" w:color="auto" w:sz="4" w:space="0"/>
              <w:right w:val="single" w:color="auto" w:sz="4" w:space="0"/>
            </w:tcBorders>
            <w:noWrap w:val="0"/>
            <w:vAlign w:val="center"/>
          </w:tcPr>
          <w:p w14:paraId="027B799E">
            <w:pPr>
              <w:spacing w:line="276" w:lineRule="auto"/>
              <w:jc w:val="center"/>
              <w:rPr>
                <w:sz w:val="18"/>
                <w:szCs w:val="18"/>
              </w:rPr>
            </w:pPr>
          </w:p>
        </w:tc>
      </w:tr>
      <w:tr w14:paraId="4EDD4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35" w:type="pct"/>
            <w:vMerge w:val="continue"/>
            <w:tcBorders>
              <w:left w:val="single" w:color="auto" w:sz="4" w:space="0"/>
              <w:bottom w:val="single" w:color="auto" w:sz="4" w:space="0"/>
              <w:right w:val="single" w:color="auto" w:sz="4" w:space="0"/>
            </w:tcBorders>
            <w:noWrap w:val="0"/>
            <w:vAlign w:val="center"/>
          </w:tcPr>
          <w:p w14:paraId="5F83B710">
            <w:pPr>
              <w:widowControl/>
              <w:spacing w:line="276" w:lineRule="auto"/>
              <w:jc w:val="center"/>
              <w:rPr>
                <w:sz w:val="18"/>
                <w:szCs w:val="21"/>
              </w:rPr>
            </w:pPr>
          </w:p>
        </w:tc>
        <w:tc>
          <w:tcPr>
            <w:tcW w:w="914" w:type="pct"/>
            <w:tcBorders>
              <w:top w:val="single" w:color="auto" w:sz="4" w:space="0"/>
              <w:left w:val="single" w:color="auto" w:sz="4" w:space="0"/>
              <w:bottom w:val="single" w:color="auto" w:sz="4" w:space="0"/>
              <w:right w:val="single" w:color="auto" w:sz="4" w:space="0"/>
            </w:tcBorders>
            <w:noWrap w:val="0"/>
            <w:vAlign w:val="center"/>
          </w:tcPr>
          <w:p w14:paraId="41444956">
            <w:pPr>
              <w:spacing w:line="276" w:lineRule="auto"/>
              <w:jc w:val="center"/>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lang w:val="en-US" w:eastAsia="zh-CN"/>
              </w:rPr>
              <w:t>船舶</w:t>
            </w:r>
            <w:r>
              <w:rPr>
                <w:rFonts w:hint="eastAsia" w:ascii="宋体" w:hAnsi="宋体" w:eastAsia="宋体" w:cs="宋体"/>
                <w:sz w:val="18"/>
                <w:szCs w:val="18"/>
                <w:highlight w:val="none"/>
              </w:rPr>
              <w:t>运输</w:t>
            </w:r>
          </w:p>
        </w:tc>
        <w:tc>
          <w:tcPr>
            <w:tcW w:w="729" w:type="pct"/>
            <w:tcBorders>
              <w:top w:val="single" w:color="auto" w:sz="4" w:space="0"/>
              <w:left w:val="single" w:color="auto" w:sz="4" w:space="0"/>
              <w:bottom w:val="single" w:color="auto" w:sz="4" w:space="0"/>
              <w:right w:val="single" w:color="auto" w:sz="4" w:space="0"/>
            </w:tcBorders>
            <w:noWrap w:val="0"/>
            <w:vAlign w:val="center"/>
          </w:tcPr>
          <w:p w14:paraId="7625EEC6">
            <w:pPr>
              <w:spacing w:line="276" w:lineRule="auto"/>
              <w:jc w:val="center"/>
              <w:rPr>
                <w:sz w:val="18"/>
                <w:szCs w:val="18"/>
              </w:rPr>
            </w:pPr>
          </w:p>
        </w:tc>
        <w:tc>
          <w:tcPr>
            <w:tcW w:w="729" w:type="pct"/>
            <w:tcBorders>
              <w:top w:val="single" w:color="auto" w:sz="4" w:space="0"/>
              <w:left w:val="single" w:color="auto" w:sz="4" w:space="0"/>
              <w:bottom w:val="single" w:color="auto" w:sz="4" w:space="0"/>
              <w:right w:val="single" w:color="auto" w:sz="4" w:space="0"/>
            </w:tcBorders>
            <w:noWrap w:val="0"/>
            <w:vAlign w:val="center"/>
          </w:tcPr>
          <w:p w14:paraId="2619B14C">
            <w:pPr>
              <w:spacing w:line="276" w:lineRule="auto"/>
              <w:jc w:val="center"/>
              <w:rPr>
                <w:sz w:val="18"/>
                <w:szCs w:val="18"/>
              </w:rPr>
            </w:pPr>
          </w:p>
        </w:tc>
        <w:tc>
          <w:tcPr>
            <w:tcW w:w="730" w:type="pct"/>
            <w:tcBorders>
              <w:top w:val="single" w:color="auto" w:sz="4" w:space="0"/>
              <w:left w:val="single" w:color="auto" w:sz="4" w:space="0"/>
              <w:bottom w:val="single" w:color="auto" w:sz="4" w:space="0"/>
              <w:right w:val="single" w:color="auto" w:sz="4" w:space="0"/>
            </w:tcBorders>
            <w:noWrap w:val="0"/>
            <w:vAlign w:val="center"/>
          </w:tcPr>
          <w:p w14:paraId="199D3DE9">
            <w:pPr>
              <w:spacing w:line="276" w:lineRule="auto"/>
              <w:jc w:val="center"/>
              <w:rPr>
                <w:sz w:val="18"/>
                <w:szCs w:val="18"/>
              </w:rPr>
            </w:pPr>
          </w:p>
        </w:tc>
        <w:tc>
          <w:tcPr>
            <w:tcW w:w="730" w:type="pct"/>
            <w:tcBorders>
              <w:top w:val="single" w:color="auto" w:sz="4" w:space="0"/>
              <w:left w:val="single" w:color="auto" w:sz="4" w:space="0"/>
              <w:bottom w:val="single" w:color="auto" w:sz="4" w:space="0"/>
              <w:right w:val="single" w:color="auto" w:sz="4" w:space="0"/>
            </w:tcBorders>
            <w:noWrap w:val="0"/>
            <w:vAlign w:val="center"/>
          </w:tcPr>
          <w:p w14:paraId="5B1B68F0">
            <w:pPr>
              <w:spacing w:line="276" w:lineRule="auto"/>
              <w:jc w:val="center"/>
              <w:rPr>
                <w:sz w:val="18"/>
                <w:szCs w:val="18"/>
              </w:rPr>
            </w:pPr>
          </w:p>
        </w:tc>
        <w:tc>
          <w:tcPr>
            <w:tcW w:w="730" w:type="pct"/>
            <w:tcBorders>
              <w:top w:val="single" w:color="auto" w:sz="4" w:space="0"/>
              <w:left w:val="single" w:color="auto" w:sz="4" w:space="0"/>
              <w:bottom w:val="single" w:color="auto" w:sz="4" w:space="0"/>
              <w:right w:val="single" w:color="auto" w:sz="4" w:space="0"/>
            </w:tcBorders>
            <w:noWrap w:val="0"/>
            <w:vAlign w:val="center"/>
          </w:tcPr>
          <w:p w14:paraId="11389693">
            <w:pPr>
              <w:spacing w:line="276" w:lineRule="auto"/>
              <w:jc w:val="center"/>
              <w:rPr>
                <w:sz w:val="18"/>
                <w:szCs w:val="18"/>
              </w:rPr>
            </w:pPr>
          </w:p>
        </w:tc>
      </w:tr>
    </w:tbl>
    <w:p w14:paraId="6A253F15">
      <w:pPr>
        <w:keepNext w:val="0"/>
        <w:keepLines w:val="0"/>
        <w:widowControl/>
        <w:suppressLineNumbers w:val="0"/>
        <w:jc w:val="left"/>
        <w:rPr>
          <w:highlight w:val="none"/>
        </w:rPr>
      </w:pPr>
    </w:p>
    <w:p w14:paraId="2B6CF42F">
      <w:pPr>
        <w:keepNext w:val="0"/>
        <w:keepLines w:val="0"/>
        <w:widowControl/>
        <w:suppressLineNumbers w:val="0"/>
        <w:jc w:val="left"/>
        <w:rPr>
          <w:highlight w:val="none"/>
        </w:rPr>
      </w:pPr>
      <w:r>
        <w:rPr>
          <w:rFonts w:hint="eastAsia" w:ascii="宋体" w:hAnsi="宋体" w:eastAsia="宋体" w:cs="宋体"/>
          <w:color w:val="0D0D0D"/>
          <w:kern w:val="0"/>
          <w:sz w:val="20"/>
          <w:szCs w:val="20"/>
          <w:highlight w:val="none"/>
          <w:lang w:val="en-US" w:eastAsia="zh-CN" w:bidi="ar"/>
        </w:rPr>
        <w:t xml:space="preserve"> </w:t>
      </w:r>
    </w:p>
    <w:p w14:paraId="1F365F44">
      <w:pPr>
        <w:widowControl/>
        <w:spacing w:line="276" w:lineRule="auto"/>
        <w:jc w:val="center"/>
        <w:outlineLvl w:val="9"/>
        <w:rPr>
          <w:rFonts w:hint="default" w:ascii="Times New Roman" w:hAnsi="Times New Roman" w:eastAsia="宋体" w:cs="Times New Roman"/>
          <w:color w:val="0D0D0D"/>
          <w:kern w:val="0"/>
          <w:sz w:val="20"/>
          <w:szCs w:val="20"/>
          <w:highlight w:val="none"/>
          <w:lang w:val="en-US" w:eastAsia="zh-CN" w:bidi="ar"/>
        </w:rPr>
      </w:pPr>
    </w:p>
    <w:p w14:paraId="63B52A7D">
      <w:pPr>
        <w:widowControl/>
        <w:spacing w:line="276" w:lineRule="auto"/>
        <w:jc w:val="center"/>
        <w:outlineLvl w:val="9"/>
        <w:rPr>
          <w:rFonts w:hint="default" w:ascii="Times New Roman" w:hAnsi="Times New Roman" w:eastAsia="宋体" w:cs="Times New Roman"/>
          <w:color w:val="0D0D0D"/>
          <w:kern w:val="0"/>
          <w:sz w:val="20"/>
          <w:szCs w:val="20"/>
          <w:highlight w:val="none"/>
          <w:lang w:val="en-US" w:eastAsia="zh-CN" w:bidi="ar"/>
        </w:rPr>
      </w:pPr>
    </w:p>
    <w:p w14:paraId="4BE41A97">
      <w:pPr>
        <w:widowControl/>
        <w:spacing w:line="276" w:lineRule="auto"/>
        <w:jc w:val="center"/>
        <w:outlineLvl w:val="9"/>
        <w:rPr>
          <w:rFonts w:hint="default" w:ascii="Times New Roman" w:hAnsi="Times New Roman" w:eastAsia="宋体" w:cs="Times New Roman"/>
          <w:color w:val="0D0D0D"/>
          <w:kern w:val="0"/>
          <w:sz w:val="20"/>
          <w:szCs w:val="20"/>
          <w:highlight w:val="none"/>
          <w:lang w:val="en-US" w:eastAsia="zh-CN" w:bidi="ar"/>
        </w:rPr>
      </w:pPr>
    </w:p>
    <w:p w14:paraId="4D14DEEC">
      <w:pPr>
        <w:widowControl/>
        <w:spacing w:line="276" w:lineRule="auto"/>
        <w:jc w:val="center"/>
        <w:outlineLvl w:val="9"/>
        <w:rPr>
          <w:rFonts w:hint="default" w:ascii="Times New Roman" w:hAnsi="Times New Roman" w:eastAsia="宋体" w:cs="Times New Roman"/>
          <w:color w:val="0D0D0D"/>
          <w:kern w:val="0"/>
          <w:sz w:val="20"/>
          <w:szCs w:val="20"/>
          <w:highlight w:val="none"/>
          <w:lang w:val="en-US" w:eastAsia="zh-CN" w:bidi="ar"/>
        </w:rPr>
      </w:pPr>
    </w:p>
    <w:p w14:paraId="44069713">
      <w:pPr>
        <w:widowControl/>
        <w:spacing w:line="276" w:lineRule="auto"/>
        <w:jc w:val="center"/>
        <w:outlineLvl w:val="9"/>
        <w:rPr>
          <w:rFonts w:hint="default" w:ascii="Times New Roman" w:hAnsi="Times New Roman" w:eastAsia="宋体" w:cs="Times New Roman"/>
          <w:color w:val="0D0D0D"/>
          <w:kern w:val="0"/>
          <w:sz w:val="20"/>
          <w:szCs w:val="20"/>
          <w:highlight w:val="none"/>
          <w:lang w:val="en-US" w:eastAsia="zh-CN" w:bidi="ar"/>
        </w:rPr>
      </w:pPr>
    </w:p>
    <w:p w14:paraId="7A5F9B52">
      <w:pPr>
        <w:spacing w:line="276" w:lineRule="auto"/>
        <w:jc w:val="center"/>
        <w:outlineLvl w:val="0"/>
        <w:rPr>
          <w:rFonts w:hint="eastAsia" w:ascii="黑体" w:hAnsi="黑体" w:eastAsia="黑体" w:cs="黑体"/>
          <w:sz w:val="21"/>
          <w:szCs w:val="21"/>
          <w:highlight w:val="none"/>
          <w:lang w:eastAsia="zh-CN"/>
        </w:rPr>
      </w:pPr>
      <w:r>
        <w:rPr>
          <w:rFonts w:hint="default" w:ascii="黑体" w:hAnsi="黑体" w:eastAsia="黑体" w:cs="黑体"/>
          <w:sz w:val="21"/>
          <w:szCs w:val="21"/>
          <w:highlight w:val="none"/>
          <w:lang w:val="en-US" w:eastAsia="zh-CN"/>
        </w:rPr>
        <w:t xml:space="preserve"> </w:t>
      </w:r>
      <w:bookmarkStart w:id="63" w:name="_Toc3063"/>
      <w:bookmarkStart w:id="64" w:name="_Toc25198"/>
      <w:bookmarkStart w:id="65" w:name="_Toc18653"/>
      <w:r>
        <w:rPr>
          <w:rFonts w:hint="eastAsia" w:ascii="黑体" w:hAnsi="黑体" w:eastAsia="黑体" w:cs="黑体"/>
          <w:sz w:val="21"/>
          <w:szCs w:val="21"/>
          <w:highlight w:val="none"/>
          <w:lang w:val="en-US" w:eastAsia="zh-CN"/>
        </w:rPr>
        <w:t>附录D</w:t>
      </w:r>
      <w:bookmarkEnd w:id="63"/>
    </w:p>
    <w:p w14:paraId="09E2E247">
      <w:pPr>
        <w:spacing w:line="276" w:lineRule="auto"/>
        <w:jc w:val="center"/>
        <w:outlineLvl w:val="0"/>
        <w:rPr>
          <w:rFonts w:hint="eastAsia" w:ascii="黑体" w:hAnsi="黑体" w:eastAsia="黑体" w:cs="黑体"/>
          <w:sz w:val="21"/>
          <w:szCs w:val="21"/>
          <w:highlight w:val="none"/>
          <w:lang w:eastAsia="zh-CN"/>
        </w:rPr>
      </w:pPr>
      <w:bookmarkStart w:id="66" w:name="_Toc18462"/>
      <w:r>
        <w:rPr>
          <w:rFonts w:hint="eastAsia" w:ascii="黑体" w:hAnsi="黑体" w:eastAsia="黑体" w:cs="黑体"/>
          <w:sz w:val="21"/>
          <w:szCs w:val="21"/>
          <w:highlight w:val="none"/>
        </w:rPr>
        <w:t>（资料性）</w:t>
      </w:r>
      <w:bookmarkEnd w:id="66"/>
    </w:p>
    <w:p w14:paraId="6DFA9C79">
      <w:pPr>
        <w:spacing w:line="276" w:lineRule="auto"/>
        <w:jc w:val="center"/>
        <w:outlineLvl w:val="0"/>
        <w:rPr>
          <w:rFonts w:hint="eastAsia" w:ascii="黑体" w:hAnsi="黑体" w:eastAsia="黑体" w:cs="黑体"/>
          <w:sz w:val="21"/>
          <w:szCs w:val="21"/>
          <w:highlight w:val="none"/>
        </w:rPr>
      </w:pPr>
      <w:bookmarkStart w:id="67" w:name="_Toc25368"/>
      <w:r>
        <w:rPr>
          <w:rFonts w:hint="eastAsia" w:ascii="黑体" w:hAnsi="黑体" w:eastAsia="黑体" w:cs="黑体"/>
          <w:sz w:val="21"/>
          <w:szCs w:val="21"/>
          <w:highlight w:val="none"/>
        </w:rPr>
        <w:t>GWP参考值</w:t>
      </w:r>
      <w:bookmarkEnd w:id="64"/>
      <w:bookmarkEnd w:id="65"/>
      <w:bookmarkEnd w:id="67"/>
    </w:p>
    <w:p w14:paraId="7E15B308">
      <w:pPr>
        <w:spacing w:line="276" w:lineRule="auto"/>
        <w:ind w:firstLine="420" w:firstLineChars="200"/>
        <w:rPr>
          <w:szCs w:val="21"/>
          <w:highlight w:val="none"/>
        </w:rPr>
      </w:pPr>
      <w:r>
        <w:rPr>
          <w:szCs w:val="21"/>
          <w:highlight w:val="none"/>
        </w:rPr>
        <w:t>温室气体全球变暖潜势见表</w:t>
      </w:r>
      <w:r>
        <w:rPr>
          <w:rFonts w:hint="eastAsia"/>
          <w:szCs w:val="21"/>
          <w:highlight w:val="none"/>
          <w:lang w:val="en-US" w:eastAsia="zh-CN"/>
        </w:rPr>
        <w:t>D</w:t>
      </w:r>
      <w:r>
        <w:rPr>
          <w:szCs w:val="21"/>
          <w:highlight w:val="none"/>
        </w:rPr>
        <w:t>.1。</w:t>
      </w:r>
    </w:p>
    <w:p w14:paraId="33A7A03D">
      <w:pPr>
        <w:spacing w:line="276" w:lineRule="auto"/>
        <w:jc w:val="center"/>
        <w:rPr>
          <w:rFonts w:hint="eastAsia" w:ascii="黑体" w:hAnsi="黑体" w:eastAsia="黑体" w:cs="黑体"/>
          <w:highlight w:val="none"/>
          <w:lang w:eastAsia="zh-CN"/>
        </w:rPr>
      </w:pPr>
      <w:r>
        <w:rPr>
          <w:rFonts w:hint="eastAsia" w:ascii="黑体" w:hAnsi="黑体" w:eastAsia="黑体" w:cs="黑体"/>
          <w:szCs w:val="21"/>
          <w:highlight w:val="none"/>
        </w:rPr>
        <w:t>表</w:t>
      </w:r>
      <w:r>
        <w:rPr>
          <w:rFonts w:hint="eastAsia" w:ascii="黑体" w:hAnsi="黑体" w:eastAsia="黑体" w:cs="黑体"/>
          <w:szCs w:val="21"/>
          <w:highlight w:val="none"/>
          <w:lang w:val="en-US" w:eastAsia="zh-CN"/>
        </w:rPr>
        <w:t>D</w:t>
      </w:r>
      <w:r>
        <w:rPr>
          <w:rFonts w:hint="eastAsia" w:ascii="黑体" w:hAnsi="黑体" w:eastAsia="黑体" w:cs="黑体"/>
          <w:szCs w:val="21"/>
          <w:highlight w:val="none"/>
        </w:rPr>
        <w:t>.1  部分GHG的GWP</w:t>
      </w:r>
    </w:p>
    <w:tbl>
      <w:tblPr>
        <w:tblStyle w:val="155"/>
        <w:tblW w:w="4999"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2606"/>
        <w:gridCol w:w="3202"/>
        <w:gridCol w:w="3947"/>
      </w:tblGrid>
      <w:tr w14:paraId="4E3BFE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1336" w:type="pct"/>
          </w:tcPr>
          <w:p w14:paraId="71D1DE4D">
            <w:pPr>
              <w:pStyle w:val="154"/>
              <w:spacing w:before="55" w:line="222" w:lineRule="auto"/>
              <w:ind w:left="695"/>
              <w:rPr>
                <w:rFonts w:hint="eastAsia" w:ascii="宋体" w:hAnsi="宋体" w:eastAsia="宋体" w:cs="宋体"/>
                <w:sz w:val="18"/>
                <w:szCs w:val="18"/>
                <w:highlight w:val="none"/>
              </w:rPr>
            </w:pPr>
            <w:r>
              <w:rPr>
                <w:rFonts w:hint="eastAsia" w:ascii="宋体" w:hAnsi="宋体" w:eastAsia="宋体" w:cs="宋体"/>
                <w:spacing w:val="-2"/>
                <w:sz w:val="18"/>
                <w:szCs w:val="18"/>
                <w:highlight w:val="none"/>
              </w:rPr>
              <w:t>气体名称</w:t>
            </w:r>
          </w:p>
        </w:tc>
        <w:tc>
          <w:tcPr>
            <w:tcW w:w="1641" w:type="pct"/>
          </w:tcPr>
          <w:p w14:paraId="2C22D325">
            <w:pPr>
              <w:pStyle w:val="154"/>
              <w:spacing w:before="56" w:line="221" w:lineRule="auto"/>
              <w:ind w:left="843"/>
              <w:rPr>
                <w:rFonts w:hint="eastAsia" w:ascii="宋体" w:hAnsi="宋体" w:eastAsia="宋体" w:cs="宋体"/>
                <w:sz w:val="18"/>
                <w:szCs w:val="18"/>
                <w:highlight w:val="none"/>
              </w:rPr>
            </w:pPr>
            <w:r>
              <w:rPr>
                <w:rFonts w:hint="eastAsia" w:ascii="宋体" w:hAnsi="宋体" w:eastAsia="宋体" w:cs="宋体"/>
                <w:spacing w:val="-2"/>
                <w:sz w:val="18"/>
                <w:szCs w:val="18"/>
                <w:highlight w:val="none"/>
              </w:rPr>
              <w:t>化学分子式</w:t>
            </w:r>
          </w:p>
        </w:tc>
        <w:tc>
          <w:tcPr>
            <w:tcW w:w="2022" w:type="pct"/>
          </w:tcPr>
          <w:p w14:paraId="5F4067ED">
            <w:pPr>
              <w:pStyle w:val="154"/>
              <w:spacing w:before="55" w:line="214" w:lineRule="auto"/>
              <w:ind w:left="503"/>
              <w:rPr>
                <w:rFonts w:hint="eastAsia" w:ascii="宋体" w:hAnsi="宋体" w:eastAsia="宋体" w:cs="宋体"/>
                <w:sz w:val="18"/>
                <w:szCs w:val="18"/>
                <w:highlight w:val="none"/>
                <w:lang w:eastAsia="zh-CN"/>
              </w:rPr>
            </w:pPr>
            <w:r>
              <w:rPr>
                <w:rFonts w:hint="eastAsia" w:ascii="宋体" w:hAnsi="宋体" w:eastAsia="宋体" w:cs="宋体"/>
                <w:spacing w:val="-2"/>
                <w:sz w:val="18"/>
                <w:szCs w:val="18"/>
                <w:highlight w:val="none"/>
                <w:lang w:eastAsia="zh-CN"/>
              </w:rPr>
              <w:t>100年的GWP(截至出版时)</w:t>
            </w:r>
          </w:p>
        </w:tc>
      </w:tr>
      <w:tr w14:paraId="74480D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336" w:type="pct"/>
          </w:tcPr>
          <w:p w14:paraId="39EE777E">
            <w:pPr>
              <w:pStyle w:val="154"/>
              <w:spacing w:before="51" w:line="220" w:lineRule="auto"/>
              <w:ind w:left="697"/>
              <w:rPr>
                <w:rFonts w:hint="eastAsia" w:ascii="宋体" w:hAnsi="宋体" w:eastAsia="宋体" w:cs="宋体"/>
                <w:sz w:val="18"/>
                <w:szCs w:val="18"/>
                <w:highlight w:val="none"/>
              </w:rPr>
            </w:pPr>
            <w:r>
              <w:rPr>
                <w:rFonts w:hint="eastAsia" w:ascii="宋体" w:hAnsi="宋体" w:eastAsia="宋体" w:cs="宋体"/>
                <w:spacing w:val="-3"/>
                <w:sz w:val="18"/>
                <w:szCs w:val="18"/>
                <w:highlight w:val="none"/>
              </w:rPr>
              <w:t>二氧化碳</w:t>
            </w:r>
          </w:p>
        </w:tc>
        <w:tc>
          <w:tcPr>
            <w:tcW w:w="1641" w:type="pct"/>
          </w:tcPr>
          <w:p w14:paraId="7723D0CD">
            <w:pPr>
              <w:spacing w:before="90" w:line="196" w:lineRule="auto"/>
              <w:ind w:left="1184"/>
              <w:rPr>
                <w:rFonts w:hint="eastAsia" w:ascii="宋体" w:hAnsi="宋体" w:eastAsia="宋体" w:cs="宋体"/>
                <w:sz w:val="18"/>
                <w:szCs w:val="18"/>
                <w:highlight w:val="none"/>
              </w:rPr>
            </w:pPr>
            <w:r>
              <w:rPr>
                <w:rFonts w:hint="eastAsia" w:ascii="宋体" w:hAnsi="宋体" w:eastAsia="宋体" w:cs="宋体"/>
                <w:color w:val="221F1F"/>
                <w:sz w:val="18"/>
                <w:szCs w:val="18"/>
                <w:highlight w:val="none"/>
              </w:rPr>
              <w:t>CO</w:t>
            </w:r>
            <w:r>
              <w:rPr>
                <w:rFonts w:hint="eastAsia" w:ascii="宋体" w:hAnsi="宋体" w:eastAsia="宋体" w:cs="宋体"/>
                <w:color w:val="221F1F"/>
                <w:position w:val="-1"/>
                <w:sz w:val="18"/>
                <w:szCs w:val="18"/>
                <w:highlight w:val="none"/>
              </w:rPr>
              <w:t>2</w:t>
            </w:r>
          </w:p>
        </w:tc>
        <w:tc>
          <w:tcPr>
            <w:tcW w:w="2022" w:type="pct"/>
          </w:tcPr>
          <w:p w14:paraId="5AD8AC01">
            <w:pPr>
              <w:spacing w:before="90" w:line="187" w:lineRule="auto"/>
              <w:ind w:left="1645"/>
              <w:rPr>
                <w:rFonts w:hint="eastAsia" w:ascii="宋体" w:hAnsi="宋体" w:eastAsia="宋体" w:cs="宋体"/>
                <w:sz w:val="18"/>
                <w:szCs w:val="18"/>
                <w:highlight w:val="none"/>
              </w:rPr>
            </w:pPr>
            <w:r>
              <w:rPr>
                <w:rFonts w:hint="eastAsia" w:ascii="宋体" w:hAnsi="宋体" w:eastAsia="宋体" w:cs="宋体"/>
                <w:sz w:val="18"/>
                <w:szCs w:val="18"/>
                <w:highlight w:val="none"/>
              </w:rPr>
              <w:t>1</w:t>
            </w:r>
          </w:p>
        </w:tc>
      </w:tr>
      <w:tr w14:paraId="5C4B92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336" w:type="pct"/>
          </w:tcPr>
          <w:p w14:paraId="26E2DDED">
            <w:pPr>
              <w:pStyle w:val="154"/>
              <w:spacing w:before="52" w:line="221" w:lineRule="auto"/>
              <w:ind w:left="932"/>
              <w:rPr>
                <w:rFonts w:hint="eastAsia" w:ascii="宋体" w:hAnsi="宋体" w:eastAsia="宋体" w:cs="宋体"/>
                <w:sz w:val="18"/>
                <w:szCs w:val="18"/>
                <w:highlight w:val="none"/>
              </w:rPr>
            </w:pPr>
            <w:r>
              <w:rPr>
                <w:rFonts w:hint="eastAsia" w:ascii="宋体" w:hAnsi="宋体" w:eastAsia="宋体" w:cs="宋体"/>
                <w:color w:val="221F1F"/>
                <w:spacing w:val="-9"/>
                <w:sz w:val="18"/>
                <w:szCs w:val="18"/>
                <w:highlight w:val="none"/>
              </w:rPr>
              <w:t>甲烷</w:t>
            </w:r>
          </w:p>
        </w:tc>
        <w:tc>
          <w:tcPr>
            <w:tcW w:w="1641" w:type="pct"/>
          </w:tcPr>
          <w:p w14:paraId="0E279965">
            <w:pPr>
              <w:spacing w:before="91" w:line="196" w:lineRule="auto"/>
              <w:ind w:left="1184"/>
              <w:rPr>
                <w:rFonts w:hint="eastAsia" w:ascii="宋体" w:hAnsi="宋体" w:eastAsia="宋体" w:cs="宋体"/>
                <w:sz w:val="18"/>
                <w:szCs w:val="18"/>
                <w:highlight w:val="none"/>
              </w:rPr>
            </w:pPr>
            <w:r>
              <w:rPr>
                <w:rFonts w:hint="eastAsia" w:ascii="宋体" w:hAnsi="宋体" w:eastAsia="宋体" w:cs="宋体"/>
                <w:color w:val="221F1F"/>
                <w:sz w:val="18"/>
                <w:szCs w:val="18"/>
                <w:highlight w:val="none"/>
              </w:rPr>
              <w:t>CH</w:t>
            </w:r>
            <w:r>
              <w:rPr>
                <w:rFonts w:hint="eastAsia" w:ascii="宋体" w:hAnsi="宋体" w:eastAsia="宋体" w:cs="宋体"/>
                <w:color w:val="221F1F"/>
                <w:position w:val="-1"/>
                <w:sz w:val="18"/>
                <w:szCs w:val="18"/>
                <w:highlight w:val="none"/>
              </w:rPr>
              <w:t>4</w:t>
            </w:r>
          </w:p>
        </w:tc>
        <w:tc>
          <w:tcPr>
            <w:tcW w:w="2022" w:type="pct"/>
          </w:tcPr>
          <w:p w14:paraId="7779B8C1">
            <w:pPr>
              <w:spacing w:before="90" w:line="187" w:lineRule="auto"/>
              <w:ind w:left="1495"/>
              <w:rPr>
                <w:rFonts w:hint="eastAsia" w:ascii="宋体" w:hAnsi="宋体" w:eastAsia="宋体" w:cs="宋体"/>
                <w:sz w:val="18"/>
                <w:szCs w:val="18"/>
                <w:highlight w:val="none"/>
              </w:rPr>
            </w:pPr>
            <w:r>
              <w:rPr>
                <w:rFonts w:hint="eastAsia" w:ascii="宋体" w:hAnsi="宋体" w:eastAsia="宋体" w:cs="宋体"/>
                <w:spacing w:val="-1"/>
                <w:sz w:val="18"/>
                <w:szCs w:val="18"/>
                <w:highlight w:val="none"/>
              </w:rPr>
              <w:t>27.9</w:t>
            </w:r>
          </w:p>
        </w:tc>
      </w:tr>
      <w:tr w14:paraId="6D46F6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336" w:type="pct"/>
          </w:tcPr>
          <w:p w14:paraId="0A0192EC">
            <w:pPr>
              <w:pStyle w:val="154"/>
              <w:spacing w:before="52" w:line="220" w:lineRule="auto"/>
              <w:ind w:left="695"/>
              <w:rPr>
                <w:rFonts w:hint="eastAsia" w:ascii="宋体" w:hAnsi="宋体" w:eastAsia="宋体" w:cs="宋体"/>
                <w:sz w:val="18"/>
                <w:szCs w:val="18"/>
                <w:highlight w:val="none"/>
              </w:rPr>
            </w:pPr>
            <w:r>
              <w:rPr>
                <w:rFonts w:hint="eastAsia" w:ascii="宋体" w:hAnsi="宋体" w:eastAsia="宋体" w:cs="宋体"/>
                <w:spacing w:val="-2"/>
                <w:sz w:val="18"/>
                <w:szCs w:val="18"/>
                <w:highlight w:val="none"/>
              </w:rPr>
              <w:t>氧化亚氮</w:t>
            </w:r>
          </w:p>
        </w:tc>
        <w:tc>
          <w:tcPr>
            <w:tcW w:w="1641" w:type="pct"/>
          </w:tcPr>
          <w:p w14:paraId="1DDE904A">
            <w:pPr>
              <w:spacing w:before="91" w:line="196" w:lineRule="auto"/>
              <w:ind w:left="1169"/>
              <w:rPr>
                <w:rFonts w:hint="eastAsia" w:ascii="宋体" w:hAnsi="宋体" w:eastAsia="宋体" w:cs="宋体"/>
                <w:sz w:val="18"/>
                <w:szCs w:val="18"/>
                <w:highlight w:val="none"/>
              </w:rPr>
            </w:pPr>
            <w:r>
              <w:rPr>
                <w:rFonts w:hint="eastAsia" w:ascii="宋体" w:hAnsi="宋体" w:eastAsia="宋体" w:cs="宋体"/>
                <w:spacing w:val="3"/>
                <w:sz w:val="18"/>
                <w:szCs w:val="18"/>
                <w:highlight w:val="none"/>
              </w:rPr>
              <w:t>N</w:t>
            </w:r>
            <w:r>
              <w:rPr>
                <w:rFonts w:hint="eastAsia" w:ascii="宋体" w:hAnsi="宋体" w:eastAsia="宋体" w:cs="宋体"/>
                <w:spacing w:val="3"/>
                <w:position w:val="-1"/>
                <w:sz w:val="18"/>
                <w:szCs w:val="18"/>
                <w:highlight w:val="none"/>
              </w:rPr>
              <w:t>2</w:t>
            </w:r>
            <w:r>
              <w:rPr>
                <w:rFonts w:hint="eastAsia" w:ascii="宋体" w:hAnsi="宋体" w:eastAsia="宋体" w:cs="宋体"/>
                <w:spacing w:val="3"/>
                <w:sz w:val="18"/>
                <w:szCs w:val="18"/>
                <w:highlight w:val="none"/>
              </w:rPr>
              <w:t>O</w:t>
            </w:r>
          </w:p>
        </w:tc>
        <w:tc>
          <w:tcPr>
            <w:tcW w:w="2022" w:type="pct"/>
          </w:tcPr>
          <w:p w14:paraId="67154FCE">
            <w:pPr>
              <w:spacing w:before="91" w:line="187" w:lineRule="auto"/>
              <w:ind w:left="1521"/>
              <w:rPr>
                <w:rFonts w:hint="eastAsia" w:ascii="宋体" w:hAnsi="宋体" w:eastAsia="宋体" w:cs="宋体"/>
                <w:sz w:val="18"/>
                <w:szCs w:val="18"/>
                <w:highlight w:val="none"/>
              </w:rPr>
            </w:pPr>
            <w:r>
              <w:rPr>
                <w:rFonts w:hint="eastAsia" w:ascii="宋体" w:hAnsi="宋体" w:eastAsia="宋体" w:cs="宋体"/>
                <w:spacing w:val="-1"/>
                <w:sz w:val="18"/>
                <w:szCs w:val="18"/>
                <w:highlight w:val="none"/>
              </w:rPr>
              <w:t>273</w:t>
            </w:r>
          </w:p>
        </w:tc>
      </w:tr>
      <w:tr w14:paraId="5BA337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 w:hRule="atLeast"/>
        </w:trPr>
        <w:tc>
          <w:tcPr>
            <w:tcW w:w="1336" w:type="pct"/>
          </w:tcPr>
          <w:p w14:paraId="4757D2D5">
            <w:pPr>
              <w:pStyle w:val="154"/>
              <w:spacing w:before="55" w:line="220" w:lineRule="auto"/>
              <w:ind w:left="694"/>
              <w:rPr>
                <w:rFonts w:hint="eastAsia" w:ascii="宋体" w:hAnsi="宋体" w:eastAsia="宋体" w:cs="宋体"/>
                <w:sz w:val="18"/>
                <w:szCs w:val="18"/>
                <w:highlight w:val="none"/>
              </w:rPr>
            </w:pPr>
            <w:r>
              <w:rPr>
                <w:rFonts w:hint="eastAsia" w:ascii="宋体" w:hAnsi="宋体" w:eastAsia="宋体" w:cs="宋体"/>
                <w:spacing w:val="-2"/>
                <w:sz w:val="18"/>
                <w:szCs w:val="18"/>
                <w:highlight w:val="none"/>
              </w:rPr>
              <w:t>三氟化氮</w:t>
            </w:r>
          </w:p>
        </w:tc>
        <w:tc>
          <w:tcPr>
            <w:tcW w:w="1641" w:type="pct"/>
          </w:tcPr>
          <w:p w14:paraId="56501082">
            <w:pPr>
              <w:spacing w:before="97" w:line="193" w:lineRule="auto"/>
              <w:ind w:left="1186"/>
              <w:rPr>
                <w:rFonts w:hint="eastAsia" w:ascii="宋体" w:hAnsi="宋体" w:eastAsia="宋体" w:cs="宋体"/>
                <w:sz w:val="18"/>
                <w:szCs w:val="18"/>
                <w:highlight w:val="none"/>
              </w:rPr>
            </w:pPr>
            <w:r>
              <w:rPr>
                <w:rFonts w:hint="eastAsia" w:ascii="宋体" w:hAnsi="宋体" w:eastAsia="宋体" w:cs="宋体"/>
                <w:sz w:val="18"/>
                <w:szCs w:val="18"/>
                <w:highlight w:val="none"/>
              </w:rPr>
              <w:t>NF</w:t>
            </w:r>
            <w:r>
              <w:rPr>
                <w:rFonts w:hint="eastAsia" w:ascii="宋体" w:hAnsi="宋体" w:eastAsia="宋体" w:cs="宋体"/>
                <w:spacing w:val="9"/>
                <w:position w:val="-1"/>
                <w:sz w:val="18"/>
                <w:szCs w:val="18"/>
                <w:highlight w:val="none"/>
              </w:rPr>
              <w:t>3</w:t>
            </w:r>
          </w:p>
        </w:tc>
        <w:tc>
          <w:tcPr>
            <w:tcW w:w="2022" w:type="pct"/>
          </w:tcPr>
          <w:p w14:paraId="74C5C2A1">
            <w:pPr>
              <w:spacing w:before="91" w:line="201" w:lineRule="auto"/>
              <w:ind w:left="1410"/>
              <w:rPr>
                <w:rFonts w:hint="eastAsia" w:ascii="宋体" w:hAnsi="宋体" w:eastAsia="宋体" w:cs="宋体"/>
                <w:sz w:val="18"/>
                <w:szCs w:val="18"/>
                <w:highlight w:val="none"/>
              </w:rPr>
            </w:pPr>
            <w:r>
              <w:rPr>
                <w:rFonts w:hint="eastAsia" w:ascii="宋体" w:hAnsi="宋体" w:eastAsia="宋体" w:cs="宋体"/>
                <w:color w:val="221F1F"/>
                <w:spacing w:val="-3"/>
                <w:sz w:val="18"/>
                <w:szCs w:val="18"/>
                <w:highlight w:val="none"/>
              </w:rPr>
              <w:t>17,400</w:t>
            </w:r>
          </w:p>
        </w:tc>
      </w:tr>
      <w:tr w14:paraId="790C91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336" w:type="pct"/>
          </w:tcPr>
          <w:p w14:paraId="5F607A06">
            <w:pPr>
              <w:pStyle w:val="154"/>
              <w:spacing w:before="52" w:line="221" w:lineRule="auto"/>
              <w:ind w:left="696"/>
              <w:rPr>
                <w:rFonts w:hint="eastAsia" w:ascii="宋体" w:hAnsi="宋体" w:eastAsia="宋体" w:cs="宋体"/>
                <w:sz w:val="18"/>
                <w:szCs w:val="18"/>
                <w:highlight w:val="none"/>
              </w:rPr>
            </w:pPr>
            <w:r>
              <w:rPr>
                <w:rFonts w:hint="eastAsia" w:ascii="宋体" w:hAnsi="宋体" w:eastAsia="宋体" w:cs="宋体"/>
                <w:spacing w:val="-2"/>
                <w:sz w:val="18"/>
                <w:szCs w:val="18"/>
                <w:highlight w:val="none"/>
              </w:rPr>
              <w:t>六氟化硫</w:t>
            </w:r>
          </w:p>
        </w:tc>
        <w:tc>
          <w:tcPr>
            <w:tcW w:w="1641" w:type="pct"/>
          </w:tcPr>
          <w:p w14:paraId="0864CD11">
            <w:pPr>
              <w:spacing w:before="92" w:line="196" w:lineRule="auto"/>
              <w:ind w:left="1219"/>
              <w:rPr>
                <w:rFonts w:hint="eastAsia" w:ascii="宋体" w:hAnsi="宋体" w:eastAsia="宋体" w:cs="宋体"/>
                <w:sz w:val="18"/>
                <w:szCs w:val="18"/>
                <w:highlight w:val="none"/>
              </w:rPr>
            </w:pPr>
            <w:r>
              <w:rPr>
                <w:rFonts w:hint="eastAsia" w:ascii="宋体" w:hAnsi="宋体" w:eastAsia="宋体" w:cs="宋体"/>
                <w:spacing w:val="-3"/>
                <w:sz w:val="18"/>
                <w:szCs w:val="18"/>
                <w:highlight w:val="none"/>
              </w:rPr>
              <w:t>SF</w:t>
            </w:r>
            <w:r>
              <w:rPr>
                <w:rFonts w:hint="eastAsia" w:ascii="宋体" w:hAnsi="宋体" w:eastAsia="宋体" w:cs="宋体"/>
                <w:spacing w:val="-3"/>
                <w:position w:val="-1"/>
                <w:sz w:val="18"/>
                <w:szCs w:val="18"/>
                <w:highlight w:val="none"/>
              </w:rPr>
              <w:t>6</w:t>
            </w:r>
          </w:p>
        </w:tc>
        <w:tc>
          <w:tcPr>
            <w:tcW w:w="2022" w:type="pct"/>
          </w:tcPr>
          <w:p w14:paraId="30E276BA">
            <w:pPr>
              <w:spacing w:before="91" w:line="187" w:lineRule="auto"/>
              <w:ind w:left="1416"/>
              <w:rPr>
                <w:rFonts w:hint="eastAsia" w:ascii="宋体" w:hAnsi="宋体" w:eastAsia="宋体" w:cs="宋体"/>
                <w:sz w:val="18"/>
                <w:szCs w:val="18"/>
                <w:highlight w:val="none"/>
              </w:rPr>
            </w:pPr>
            <w:r>
              <w:rPr>
                <w:rFonts w:hint="eastAsia" w:ascii="宋体" w:hAnsi="宋体" w:eastAsia="宋体" w:cs="宋体"/>
                <w:spacing w:val="-1"/>
                <w:sz w:val="18"/>
                <w:szCs w:val="18"/>
                <w:highlight w:val="none"/>
              </w:rPr>
              <w:t>25200</w:t>
            </w:r>
          </w:p>
        </w:tc>
      </w:tr>
      <w:tr w14:paraId="662E21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5000" w:type="pct"/>
            <w:gridSpan w:val="3"/>
          </w:tcPr>
          <w:p w14:paraId="51F09989">
            <w:pPr>
              <w:pStyle w:val="154"/>
              <w:spacing w:before="54" w:line="221" w:lineRule="auto"/>
              <w:jc w:val="center"/>
              <w:rPr>
                <w:rFonts w:hint="eastAsia" w:ascii="宋体" w:hAnsi="宋体" w:eastAsia="宋体" w:cs="宋体"/>
                <w:sz w:val="18"/>
                <w:szCs w:val="18"/>
                <w:highlight w:val="none"/>
                <w:lang w:eastAsia="zh-CN"/>
              </w:rPr>
            </w:pPr>
            <w:r>
              <w:rPr>
                <w:rFonts w:hint="eastAsia" w:ascii="宋体" w:hAnsi="宋体" w:eastAsia="宋体" w:cs="宋体"/>
                <w:spacing w:val="-1"/>
                <w:sz w:val="18"/>
                <w:szCs w:val="18"/>
                <w:highlight w:val="none"/>
                <w:lang w:eastAsia="zh-CN"/>
              </w:rPr>
              <w:t>氢氟碳化物（HFCs）</w:t>
            </w:r>
          </w:p>
        </w:tc>
      </w:tr>
      <w:tr w14:paraId="52841B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336" w:type="pct"/>
          </w:tcPr>
          <w:p w14:paraId="34488CAC">
            <w:pPr>
              <w:spacing w:before="92" w:line="187" w:lineRule="auto"/>
              <w:ind w:left="766"/>
              <w:rPr>
                <w:rFonts w:hint="eastAsia" w:ascii="宋体" w:hAnsi="宋体" w:eastAsia="宋体" w:cs="宋体"/>
                <w:sz w:val="18"/>
                <w:szCs w:val="18"/>
                <w:highlight w:val="none"/>
              </w:rPr>
            </w:pPr>
            <w:r>
              <w:rPr>
                <w:rFonts w:hint="eastAsia" w:ascii="宋体" w:hAnsi="宋体" w:eastAsia="宋体" w:cs="宋体"/>
                <w:spacing w:val="-1"/>
                <w:sz w:val="18"/>
                <w:szCs w:val="18"/>
                <w:highlight w:val="none"/>
              </w:rPr>
              <w:t>HFC-23</w:t>
            </w:r>
          </w:p>
        </w:tc>
        <w:tc>
          <w:tcPr>
            <w:tcW w:w="1641" w:type="pct"/>
          </w:tcPr>
          <w:p w14:paraId="36D52B1C">
            <w:pPr>
              <w:spacing w:before="93" w:line="196" w:lineRule="auto"/>
              <w:ind w:left="1127"/>
              <w:rPr>
                <w:rFonts w:hint="eastAsia" w:ascii="宋体" w:hAnsi="宋体" w:eastAsia="宋体" w:cs="宋体"/>
                <w:sz w:val="18"/>
                <w:szCs w:val="18"/>
                <w:highlight w:val="none"/>
              </w:rPr>
            </w:pPr>
            <w:r>
              <w:rPr>
                <w:rFonts w:hint="eastAsia" w:ascii="宋体" w:hAnsi="宋体" w:eastAsia="宋体" w:cs="宋体"/>
                <w:spacing w:val="-1"/>
                <w:sz w:val="18"/>
                <w:szCs w:val="18"/>
                <w:highlight w:val="none"/>
              </w:rPr>
              <w:t>CHF</w:t>
            </w:r>
            <w:r>
              <w:rPr>
                <w:rFonts w:hint="eastAsia" w:ascii="宋体" w:hAnsi="宋体" w:eastAsia="宋体" w:cs="宋体"/>
                <w:spacing w:val="-1"/>
                <w:position w:val="-1"/>
                <w:sz w:val="18"/>
                <w:szCs w:val="18"/>
                <w:highlight w:val="none"/>
              </w:rPr>
              <w:t>3</w:t>
            </w:r>
          </w:p>
        </w:tc>
        <w:tc>
          <w:tcPr>
            <w:tcW w:w="2022" w:type="pct"/>
          </w:tcPr>
          <w:p w14:paraId="697702F4">
            <w:pPr>
              <w:spacing w:before="92" w:line="187" w:lineRule="auto"/>
              <w:ind w:left="1436"/>
              <w:rPr>
                <w:rFonts w:hint="eastAsia" w:ascii="宋体" w:hAnsi="宋体" w:eastAsia="宋体" w:cs="宋体"/>
                <w:sz w:val="18"/>
                <w:szCs w:val="18"/>
                <w:highlight w:val="none"/>
              </w:rPr>
            </w:pPr>
            <w:r>
              <w:rPr>
                <w:rFonts w:hint="eastAsia" w:ascii="宋体" w:hAnsi="宋体" w:eastAsia="宋体" w:cs="宋体"/>
                <w:color w:val="221F1F"/>
                <w:spacing w:val="-4"/>
                <w:sz w:val="18"/>
                <w:szCs w:val="18"/>
                <w:highlight w:val="none"/>
              </w:rPr>
              <w:t>14600</w:t>
            </w:r>
          </w:p>
        </w:tc>
      </w:tr>
      <w:tr w14:paraId="09AD37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336" w:type="pct"/>
          </w:tcPr>
          <w:p w14:paraId="3581E696">
            <w:pPr>
              <w:spacing w:before="92" w:line="187" w:lineRule="auto"/>
              <w:ind w:left="766"/>
              <w:rPr>
                <w:rFonts w:hint="eastAsia" w:ascii="宋体" w:hAnsi="宋体" w:eastAsia="宋体" w:cs="宋体"/>
                <w:sz w:val="18"/>
                <w:szCs w:val="18"/>
                <w:highlight w:val="none"/>
              </w:rPr>
            </w:pPr>
            <w:r>
              <w:rPr>
                <w:rFonts w:hint="eastAsia" w:ascii="宋体" w:hAnsi="宋体" w:eastAsia="宋体" w:cs="宋体"/>
                <w:spacing w:val="-1"/>
                <w:sz w:val="18"/>
                <w:szCs w:val="18"/>
                <w:highlight w:val="none"/>
              </w:rPr>
              <w:t>HFC-32</w:t>
            </w:r>
          </w:p>
        </w:tc>
        <w:tc>
          <w:tcPr>
            <w:tcW w:w="1641" w:type="pct"/>
          </w:tcPr>
          <w:p w14:paraId="00378E37">
            <w:pPr>
              <w:spacing w:before="92" w:line="196" w:lineRule="auto"/>
              <w:ind w:left="1091"/>
              <w:rPr>
                <w:rFonts w:hint="eastAsia" w:ascii="宋体" w:hAnsi="宋体" w:eastAsia="宋体" w:cs="宋体"/>
                <w:sz w:val="18"/>
                <w:szCs w:val="18"/>
                <w:highlight w:val="none"/>
              </w:rPr>
            </w:pPr>
            <w:r>
              <w:rPr>
                <w:rFonts w:hint="eastAsia" w:ascii="宋体" w:hAnsi="宋体" w:eastAsia="宋体" w:cs="宋体"/>
                <w:sz w:val="18"/>
                <w:szCs w:val="18"/>
                <w:highlight w:val="none"/>
              </w:rPr>
              <w:t>CH</w:t>
            </w:r>
            <w:r>
              <w:rPr>
                <w:rFonts w:hint="eastAsia" w:ascii="宋体" w:hAnsi="宋体" w:eastAsia="宋体" w:cs="宋体"/>
                <w:spacing w:val="1"/>
                <w:position w:val="-1"/>
                <w:sz w:val="18"/>
                <w:szCs w:val="18"/>
                <w:highlight w:val="none"/>
              </w:rPr>
              <w:t>2</w:t>
            </w:r>
            <w:r>
              <w:rPr>
                <w:rFonts w:hint="eastAsia" w:ascii="宋体" w:hAnsi="宋体" w:eastAsia="宋体" w:cs="宋体"/>
                <w:spacing w:val="1"/>
                <w:sz w:val="18"/>
                <w:szCs w:val="18"/>
                <w:highlight w:val="none"/>
              </w:rPr>
              <w:t>F</w:t>
            </w:r>
            <w:r>
              <w:rPr>
                <w:rFonts w:hint="eastAsia" w:ascii="宋体" w:hAnsi="宋体" w:eastAsia="宋体" w:cs="宋体"/>
                <w:spacing w:val="1"/>
                <w:position w:val="-1"/>
                <w:sz w:val="18"/>
                <w:szCs w:val="18"/>
                <w:highlight w:val="none"/>
              </w:rPr>
              <w:t>2</w:t>
            </w:r>
          </w:p>
        </w:tc>
        <w:tc>
          <w:tcPr>
            <w:tcW w:w="2022" w:type="pct"/>
          </w:tcPr>
          <w:p w14:paraId="2E94F74E">
            <w:pPr>
              <w:spacing w:before="92" w:line="187" w:lineRule="auto"/>
              <w:ind w:left="1525"/>
              <w:rPr>
                <w:rFonts w:hint="eastAsia" w:ascii="宋体" w:hAnsi="宋体" w:eastAsia="宋体" w:cs="宋体"/>
                <w:sz w:val="18"/>
                <w:szCs w:val="18"/>
                <w:highlight w:val="none"/>
              </w:rPr>
            </w:pPr>
            <w:r>
              <w:rPr>
                <w:rFonts w:hint="eastAsia" w:ascii="宋体" w:hAnsi="宋体" w:eastAsia="宋体" w:cs="宋体"/>
                <w:color w:val="221F1F"/>
                <w:spacing w:val="-2"/>
                <w:sz w:val="18"/>
                <w:szCs w:val="18"/>
                <w:highlight w:val="none"/>
              </w:rPr>
              <w:t>771</w:t>
            </w:r>
          </w:p>
        </w:tc>
      </w:tr>
      <w:tr w14:paraId="7DA8D0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336" w:type="pct"/>
          </w:tcPr>
          <w:p w14:paraId="731B42D9">
            <w:pPr>
              <w:spacing w:before="92" w:line="187" w:lineRule="auto"/>
              <w:ind w:left="766"/>
              <w:rPr>
                <w:rFonts w:hint="eastAsia" w:ascii="宋体" w:hAnsi="宋体" w:eastAsia="宋体" w:cs="宋体"/>
                <w:sz w:val="18"/>
                <w:szCs w:val="18"/>
                <w:highlight w:val="none"/>
              </w:rPr>
            </w:pPr>
            <w:r>
              <w:rPr>
                <w:rFonts w:hint="eastAsia" w:ascii="宋体" w:hAnsi="宋体" w:eastAsia="宋体" w:cs="宋体"/>
                <w:spacing w:val="-1"/>
                <w:sz w:val="18"/>
                <w:szCs w:val="18"/>
                <w:highlight w:val="none"/>
              </w:rPr>
              <w:t>HFC-41</w:t>
            </w:r>
          </w:p>
        </w:tc>
        <w:tc>
          <w:tcPr>
            <w:tcW w:w="1641" w:type="pct"/>
          </w:tcPr>
          <w:p w14:paraId="417E3ED2">
            <w:pPr>
              <w:spacing w:before="93" w:line="196" w:lineRule="auto"/>
              <w:ind w:left="1127"/>
              <w:rPr>
                <w:rFonts w:hint="eastAsia" w:ascii="宋体" w:hAnsi="宋体" w:eastAsia="宋体" w:cs="宋体"/>
                <w:sz w:val="18"/>
                <w:szCs w:val="18"/>
                <w:highlight w:val="none"/>
              </w:rPr>
            </w:pPr>
            <w:r>
              <w:rPr>
                <w:rFonts w:hint="eastAsia" w:ascii="宋体" w:hAnsi="宋体" w:eastAsia="宋体" w:cs="宋体"/>
                <w:sz w:val="18"/>
                <w:szCs w:val="18"/>
                <w:highlight w:val="none"/>
              </w:rPr>
              <w:t>CH</w:t>
            </w:r>
            <w:r>
              <w:rPr>
                <w:rFonts w:hint="eastAsia" w:ascii="宋体" w:hAnsi="宋体" w:eastAsia="宋体" w:cs="宋体"/>
                <w:position w:val="-1"/>
                <w:sz w:val="18"/>
                <w:szCs w:val="18"/>
                <w:highlight w:val="none"/>
              </w:rPr>
              <w:t>3</w:t>
            </w:r>
            <w:r>
              <w:rPr>
                <w:rFonts w:hint="eastAsia" w:ascii="宋体" w:hAnsi="宋体" w:eastAsia="宋体" w:cs="宋体"/>
                <w:sz w:val="18"/>
                <w:szCs w:val="18"/>
                <w:highlight w:val="none"/>
              </w:rPr>
              <w:t>F</w:t>
            </w:r>
          </w:p>
        </w:tc>
        <w:tc>
          <w:tcPr>
            <w:tcW w:w="2022" w:type="pct"/>
          </w:tcPr>
          <w:p w14:paraId="7901BFD5">
            <w:pPr>
              <w:spacing w:before="92" w:line="187" w:lineRule="auto"/>
              <w:ind w:left="1542"/>
              <w:rPr>
                <w:rFonts w:hint="eastAsia" w:ascii="宋体" w:hAnsi="宋体" w:eastAsia="宋体" w:cs="宋体"/>
                <w:sz w:val="18"/>
                <w:szCs w:val="18"/>
                <w:highlight w:val="none"/>
              </w:rPr>
            </w:pPr>
            <w:r>
              <w:rPr>
                <w:rFonts w:hint="eastAsia" w:ascii="宋体" w:hAnsi="宋体" w:eastAsia="宋体" w:cs="宋体"/>
                <w:color w:val="221F1F"/>
                <w:spacing w:val="-6"/>
                <w:sz w:val="18"/>
                <w:szCs w:val="18"/>
                <w:highlight w:val="none"/>
              </w:rPr>
              <w:t>135</w:t>
            </w:r>
          </w:p>
        </w:tc>
      </w:tr>
      <w:tr w14:paraId="38DBC3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 w:hRule="atLeast"/>
        </w:trPr>
        <w:tc>
          <w:tcPr>
            <w:tcW w:w="1336" w:type="pct"/>
          </w:tcPr>
          <w:p w14:paraId="2BC2EB39">
            <w:pPr>
              <w:spacing w:before="95" w:line="187" w:lineRule="auto"/>
              <w:ind w:left="713"/>
              <w:rPr>
                <w:rFonts w:hint="eastAsia" w:ascii="宋体" w:hAnsi="宋体" w:eastAsia="宋体" w:cs="宋体"/>
                <w:sz w:val="18"/>
                <w:szCs w:val="18"/>
                <w:highlight w:val="none"/>
              </w:rPr>
            </w:pPr>
            <w:r>
              <w:rPr>
                <w:rFonts w:hint="eastAsia" w:ascii="宋体" w:hAnsi="宋体" w:eastAsia="宋体" w:cs="宋体"/>
                <w:spacing w:val="-1"/>
                <w:sz w:val="18"/>
                <w:szCs w:val="18"/>
                <w:highlight w:val="none"/>
              </w:rPr>
              <w:t>HFC-125</w:t>
            </w:r>
          </w:p>
        </w:tc>
        <w:tc>
          <w:tcPr>
            <w:tcW w:w="1641" w:type="pct"/>
          </w:tcPr>
          <w:p w14:paraId="175D11DE">
            <w:pPr>
              <w:spacing w:before="96" w:line="196" w:lineRule="auto"/>
              <w:ind w:left="1091"/>
              <w:rPr>
                <w:rFonts w:hint="eastAsia" w:ascii="宋体" w:hAnsi="宋体" w:eastAsia="宋体" w:cs="宋体"/>
                <w:sz w:val="18"/>
                <w:szCs w:val="18"/>
                <w:highlight w:val="none"/>
              </w:rPr>
            </w:pPr>
            <w:r>
              <w:rPr>
                <w:rFonts w:hint="eastAsia" w:ascii="宋体" w:hAnsi="宋体" w:eastAsia="宋体" w:cs="宋体"/>
                <w:spacing w:val="1"/>
                <w:sz w:val="18"/>
                <w:szCs w:val="18"/>
                <w:highlight w:val="none"/>
              </w:rPr>
              <w:t>C</w:t>
            </w:r>
            <w:r>
              <w:rPr>
                <w:rFonts w:hint="eastAsia" w:ascii="宋体" w:hAnsi="宋体" w:eastAsia="宋体" w:cs="宋体"/>
                <w:spacing w:val="1"/>
                <w:position w:val="-1"/>
                <w:sz w:val="18"/>
                <w:szCs w:val="18"/>
                <w:highlight w:val="none"/>
              </w:rPr>
              <w:t>2</w:t>
            </w:r>
            <w:r>
              <w:rPr>
                <w:rFonts w:hint="eastAsia" w:ascii="宋体" w:hAnsi="宋体" w:eastAsia="宋体" w:cs="宋体"/>
                <w:sz w:val="18"/>
                <w:szCs w:val="18"/>
                <w:highlight w:val="none"/>
              </w:rPr>
              <w:t>HF</w:t>
            </w:r>
            <w:r>
              <w:rPr>
                <w:rFonts w:hint="eastAsia" w:ascii="宋体" w:hAnsi="宋体" w:eastAsia="宋体" w:cs="宋体"/>
                <w:spacing w:val="1"/>
                <w:position w:val="-1"/>
                <w:sz w:val="18"/>
                <w:szCs w:val="18"/>
                <w:highlight w:val="none"/>
              </w:rPr>
              <w:t>5</w:t>
            </w:r>
          </w:p>
        </w:tc>
        <w:tc>
          <w:tcPr>
            <w:tcW w:w="2022" w:type="pct"/>
          </w:tcPr>
          <w:p w14:paraId="5765DA44">
            <w:pPr>
              <w:spacing w:before="95" w:line="187" w:lineRule="auto"/>
              <w:ind w:left="1473"/>
              <w:rPr>
                <w:rFonts w:hint="eastAsia" w:ascii="宋体" w:hAnsi="宋体" w:eastAsia="宋体" w:cs="宋体"/>
                <w:sz w:val="18"/>
                <w:szCs w:val="18"/>
                <w:highlight w:val="none"/>
              </w:rPr>
            </w:pPr>
            <w:r>
              <w:rPr>
                <w:rFonts w:hint="eastAsia" w:ascii="宋体" w:hAnsi="宋体" w:eastAsia="宋体" w:cs="宋体"/>
                <w:color w:val="221F1F"/>
                <w:spacing w:val="-2"/>
                <w:sz w:val="18"/>
                <w:szCs w:val="18"/>
                <w:highlight w:val="none"/>
              </w:rPr>
              <w:t>3740</w:t>
            </w:r>
          </w:p>
        </w:tc>
      </w:tr>
      <w:tr w14:paraId="5DF4DF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336" w:type="pct"/>
          </w:tcPr>
          <w:p w14:paraId="11BA9525">
            <w:pPr>
              <w:spacing w:before="93" w:line="187" w:lineRule="auto"/>
              <w:ind w:left="713"/>
              <w:rPr>
                <w:rFonts w:hint="eastAsia" w:ascii="宋体" w:hAnsi="宋体" w:eastAsia="宋体" w:cs="宋体"/>
                <w:sz w:val="18"/>
                <w:szCs w:val="18"/>
                <w:highlight w:val="none"/>
              </w:rPr>
            </w:pPr>
            <w:r>
              <w:rPr>
                <w:rFonts w:hint="eastAsia" w:ascii="宋体" w:hAnsi="宋体" w:eastAsia="宋体" w:cs="宋体"/>
                <w:spacing w:val="-1"/>
                <w:sz w:val="18"/>
                <w:szCs w:val="18"/>
                <w:highlight w:val="none"/>
              </w:rPr>
              <w:t>HFC-134</w:t>
            </w:r>
          </w:p>
        </w:tc>
        <w:tc>
          <w:tcPr>
            <w:tcW w:w="1641" w:type="pct"/>
          </w:tcPr>
          <w:p w14:paraId="6C6E9B07">
            <w:pPr>
              <w:spacing w:before="93" w:line="196" w:lineRule="auto"/>
              <w:ind w:left="887"/>
              <w:rPr>
                <w:rFonts w:hint="eastAsia" w:ascii="宋体" w:hAnsi="宋体" w:eastAsia="宋体" w:cs="宋体"/>
                <w:sz w:val="18"/>
                <w:szCs w:val="18"/>
                <w:highlight w:val="none"/>
              </w:rPr>
            </w:pPr>
            <w:r>
              <w:rPr>
                <w:rFonts w:hint="eastAsia" w:ascii="宋体" w:hAnsi="宋体" w:eastAsia="宋体" w:cs="宋体"/>
                <w:sz w:val="18"/>
                <w:szCs w:val="18"/>
                <w:highlight w:val="none"/>
              </w:rPr>
              <w:t>CHF</w:t>
            </w:r>
            <w:r>
              <w:rPr>
                <w:rFonts w:hint="eastAsia" w:ascii="宋体" w:hAnsi="宋体" w:eastAsia="宋体" w:cs="宋体"/>
                <w:spacing w:val="2"/>
                <w:position w:val="-1"/>
                <w:sz w:val="18"/>
                <w:szCs w:val="18"/>
                <w:highlight w:val="none"/>
              </w:rPr>
              <w:t>2</w:t>
            </w:r>
            <w:r>
              <w:rPr>
                <w:rFonts w:hint="eastAsia" w:ascii="宋体" w:hAnsi="宋体" w:eastAsia="宋体" w:cs="宋体"/>
                <w:sz w:val="18"/>
                <w:szCs w:val="18"/>
                <w:highlight w:val="none"/>
              </w:rPr>
              <w:t>CHF</w:t>
            </w:r>
            <w:r>
              <w:rPr>
                <w:rFonts w:hint="eastAsia" w:ascii="宋体" w:hAnsi="宋体" w:eastAsia="宋体" w:cs="宋体"/>
                <w:spacing w:val="2"/>
                <w:position w:val="-1"/>
                <w:sz w:val="18"/>
                <w:szCs w:val="18"/>
                <w:highlight w:val="none"/>
              </w:rPr>
              <w:t>2</w:t>
            </w:r>
          </w:p>
        </w:tc>
        <w:tc>
          <w:tcPr>
            <w:tcW w:w="2022" w:type="pct"/>
          </w:tcPr>
          <w:p w14:paraId="255E1E6C">
            <w:pPr>
              <w:spacing w:before="93" w:line="187" w:lineRule="auto"/>
              <w:ind w:left="1489"/>
              <w:rPr>
                <w:rFonts w:hint="eastAsia" w:ascii="宋体" w:hAnsi="宋体" w:eastAsia="宋体" w:cs="宋体"/>
                <w:sz w:val="18"/>
                <w:szCs w:val="18"/>
                <w:highlight w:val="none"/>
              </w:rPr>
            </w:pPr>
            <w:r>
              <w:rPr>
                <w:rFonts w:hint="eastAsia" w:ascii="宋体" w:hAnsi="宋体" w:eastAsia="宋体" w:cs="宋体"/>
                <w:color w:val="221F1F"/>
                <w:spacing w:val="-5"/>
                <w:sz w:val="18"/>
                <w:szCs w:val="18"/>
                <w:highlight w:val="none"/>
              </w:rPr>
              <w:t>1260</w:t>
            </w:r>
          </w:p>
        </w:tc>
      </w:tr>
      <w:tr w14:paraId="488440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336" w:type="pct"/>
          </w:tcPr>
          <w:p w14:paraId="45C09A5A">
            <w:pPr>
              <w:spacing w:before="94" w:line="187" w:lineRule="auto"/>
              <w:ind w:left="668"/>
              <w:rPr>
                <w:rFonts w:hint="eastAsia" w:ascii="宋体" w:hAnsi="宋体" w:eastAsia="宋体" w:cs="宋体"/>
                <w:sz w:val="18"/>
                <w:szCs w:val="18"/>
                <w:highlight w:val="none"/>
              </w:rPr>
            </w:pPr>
            <w:r>
              <w:rPr>
                <w:rFonts w:hint="eastAsia" w:ascii="宋体" w:hAnsi="宋体" w:eastAsia="宋体" w:cs="宋体"/>
                <w:spacing w:val="-1"/>
                <w:sz w:val="18"/>
                <w:szCs w:val="18"/>
                <w:highlight w:val="none"/>
              </w:rPr>
              <w:t>HFC-134a</w:t>
            </w:r>
          </w:p>
        </w:tc>
        <w:tc>
          <w:tcPr>
            <w:tcW w:w="1641" w:type="pct"/>
          </w:tcPr>
          <w:p w14:paraId="12AF5233">
            <w:pPr>
              <w:spacing w:before="94" w:line="196" w:lineRule="auto"/>
              <w:ind w:left="1057"/>
              <w:rPr>
                <w:rFonts w:hint="eastAsia" w:ascii="宋体" w:hAnsi="宋体" w:eastAsia="宋体" w:cs="宋体"/>
                <w:sz w:val="18"/>
                <w:szCs w:val="18"/>
                <w:highlight w:val="none"/>
              </w:rPr>
            </w:pPr>
            <w:r>
              <w:rPr>
                <w:rFonts w:hint="eastAsia" w:ascii="宋体" w:hAnsi="宋体" w:eastAsia="宋体" w:cs="宋体"/>
                <w:spacing w:val="1"/>
                <w:sz w:val="18"/>
                <w:szCs w:val="18"/>
                <w:highlight w:val="none"/>
              </w:rPr>
              <w:t>C</w:t>
            </w:r>
            <w:r>
              <w:rPr>
                <w:rFonts w:hint="eastAsia" w:ascii="宋体" w:hAnsi="宋体" w:eastAsia="宋体" w:cs="宋体"/>
                <w:spacing w:val="1"/>
                <w:position w:val="-1"/>
                <w:sz w:val="18"/>
                <w:szCs w:val="18"/>
                <w:highlight w:val="none"/>
              </w:rPr>
              <w:t>2</w:t>
            </w:r>
            <w:r>
              <w:rPr>
                <w:rFonts w:hint="eastAsia" w:ascii="宋体" w:hAnsi="宋体" w:eastAsia="宋体" w:cs="宋体"/>
                <w:spacing w:val="1"/>
                <w:sz w:val="18"/>
                <w:szCs w:val="18"/>
                <w:highlight w:val="none"/>
              </w:rPr>
              <w:t>H</w:t>
            </w:r>
            <w:r>
              <w:rPr>
                <w:rFonts w:hint="eastAsia" w:ascii="宋体" w:hAnsi="宋体" w:eastAsia="宋体" w:cs="宋体"/>
                <w:spacing w:val="1"/>
                <w:position w:val="-1"/>
                <w:sz w:val="18"/>
                <w:szCs w:val="18"/>
                <w:highlight w:val="none"/>
              </w:rPr>
              <w:t>2</w:t>
            </w:r>
            <w:r>
              <w:rPr>
                <w:rFonts w:hint="eastAsia" w:ascii="宋体" w:hAnsi="宋体" w:eastAsia="宋体" w:cs="宋体"/>
                <w:spacing w:val="1"/>
                <w:sz w:val="18"/>
                <w:szCs w:val="18"/>
                <w:highlight w:val="none"/>
              </w:rPr>
              <w:t>F</w:t>
            </w:r>
            <w:r>
              <w:rPr>
                <w:rFonts w:hint="eastAsia" w:ascii="宋体" w:hAnsi="宋体" w:eastAsia="宋体" w:cs="宋体"/>
                <w:spacing w:val="1"/>
                <w:position w:val="-1"/>
                <w:sz w:val="18"/>
                <w:szCs w:val="18"/>
                <w:highlight w:val="none"/>
              </w:rPr>
              <w:t>4</w:t>
            </w:r>
          </w:p>
        </w:tc>
        <w:tc>
          <w:tcPr>
            <w:tcW w:w="2022" w:type="pct"/>
          </w:tcPr>
          <w:p w14:paraId="7385D159">
            <w:pPr>
              <w:spacing w:before="94" w:line="187" w:lineRule="auto"/>
              <w:ind w:left="1489"/>
              <w:rPr>
                <w:rFonts w:hint="eastAsia" w:ascii="宋体" w:hAnsi="宋体" w:eastAsia="宋体" w:cs="宋体"/>
                <w:sz w:val="18"/>
                <w:szCs w:val="18"/>
                <w:highlight w:val="none"/>
              </w:rPr>
            </w:pPr>
            <w:r>
              <w:rPr>
                <w:rFonts w:hint="eastAsia" w:ascii="宋体" w:hAnsi="宋体" w:eastAsia="宋体" w:cs="宋体"/>
                <w:color w:val="221F1F"/>
                <w:spacing w:val="-5"/>
                <w:sz w:val="18"/>
                <w:szCs w:val="18"/>
                <w:highlight w:val="none"/>
              </w:rPr>
              <w:t>1530</w:t>
            </w:r>
          </w:p>
        </w:tc>
      </w:tr>
      <w:tr w14:paraId="23B11E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336" w:type="pct"/>
          </w:tcPr>
          <w:p w14:paraId="339C58D8">
            <w:pPr>
              <w:spacing w:before="94" w:line="187" w:lineRule="auto"/>
              <w:ind w:left="713"/>
              <w:rPr>
                <w:rFonts w:hint="eastAsia" w:ascii="宋体" w:hAnsi="宋体" w:eastAsia="宋体" w:cs="宋体"/>
                <w:sz w:val="18"/>
                <w:szCs w:val="18"/>
                <w:highlight w:val="none"/>
              </w:rPr>
            </w:pPr>
            <w:r>
              <w:rPr>
                <w:rFonts w:hint="eastAsia" w:ascii="宋体" w:hAnsi="宋体" w:eastAsia="宋体" w:cs="宋体"/>
                <w:spacing w:val="-1"/>
                <w:sz w:val="18"/>
                <w:szCs w:val="18"/>
                <w:highlight w:val="none"/>
              </w:rPr>
              <w:t>HFC-143</w:t>
            </w:r>
          </w:p>
        </w:tc>
        <w:tc>
          <w:tcPr>
            <w:tcW w:w="1641" w:type="pct"/>
          </w:tcPr>
          <w:p w14:paraId="4387E1DE">
            <w:pPr>
              <w:spacing w:before="95" w:line="196" w:lineRule="auto"/>
              <w:ind w:left="887"/>
              <w:rPr>
                <w:rFonts w:hint="eastAsia" w:ascii="宋体" w:hAnsi="宋体" w:eastAsia="宋体" w:cs="宋体"/>
                <w:sz w:val="18"/>
                <w:szCs w:val="18"/>
                <w:highlight w:val="none"/>
              </w:rPr>
            </w:pPr>
            <w:r>
              <w:rPr>
                <w:rFonts w:hint="eastAsia" w:ascii="宋体" w:hAnsi="宋体" w:eastAsia="宋体" w:cs="宋体"/>
                <w:sz w:val="18"/>
                <w:szCs w:val="18"/>
                <w:highlight w:val="none"/>
              </w:rPr>
              <w:t>CH</w:t>
            </w:r>
            <w:r>
              <w:rPr>
                <w:rFonts w:hint="eastAsia" w:ascii="宋体" w:hAnsi="宋体" w:eastAsia="宋体" w:cs="宋体"/>
                <w:spacing w:val="2"/>
                <w:position w:val="-1"/>
                <w:sz w:val="18"/>
                <w:szCs w:val="18"/>
                <w:highlight w:val="none"/>
              </w:rPr>
              <w:t>2</w:t>
            </w:r>
            <w:r>
              <w:rPr>
                <w:rFonts w:hint="eastAsia" w:ascii="宋体" w:hAnsi="宋体" w:eastAsia="宋体" w:cs="宋体"/>
                <w:sz w:val="18"/>
                <w:szCs w:val="18"/>
                <w:highlight w:val="none"/>
              </w:rPr>
              <w:t>FCHF</w:t>
            </w:r>
            <w:r>
              <w:rPr>
                <w:rFonts w:hint="eastAsia" w:ascii="宋体" w:hAnsi="宋体" w:eastAsia="宋体" w:cs="宋体"/>
                <w:spacing w:val="2"/>
                <w:position w:val="-1"/>
                <w:sz w:val="18"/>
                <w:szCs w:val="18"/>
                <w:highlight w:val="none"/>
              </w:rPr>
              <w:t>2</w:t>
            </w:r>
          </w:p>
        </w:tc>
        <w:tc>
          <w:tcPr>
            <w:tcW w:w="2022" w:type="pct"/>
          </w:tcPr>
          <w:p w14:paraId="3380ED3A">
            <w:pPr>
              <w:spacing w:before="94" w:line="187" w:lineRule="auto"/>
              <w:ind w:left="1526"/>
              <w:rPr>
                <w:rFonts w:hint="eastAsia" w:ascii="宋体" w:hAnsi="宋体" w:eastAsia="宋体" w:cs="宋体"/>
                <w:sz w:val="18"/>
                <w:szCs w:val="18"/>
                <w:highlight w:val="none"/>
              </w:rPr>
            </w:pPr>
            <w:r>
              <w:rPr>
                <w:rFonts w:hint="eastAsia" w:ascii="宋体" w:hAnsi="宋体" w:eastAsia="宋体" w:cs="宋体"/>
                <w:color w:val="221F1F"/>
                <w:spacing w:val="-2"/>
                <w:sz w:val="18"/>
                <w:szCs w:val="18"/>
                <w:highlight w:val="none"/>
              </w:rPr>
              <w:t>364</w:t>
            </w:r>
          </w:p>
        </w:tc>
      </w:tr>
      <w:tr w14:paraId="78C686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336" w:type="pct"/>
          </w:tcPr>
          <w:p w14:paraId="64FF6826">
            <w:pPr>
              <w:spacing w:before="94" w:line="187" w:lineRule="auto"/>
              <w:ind w:left="668"/>
              <w:rPr>
                <w:rFonts w:hint="eastAsia" w:ascii="宋体" w:hAnsi="宋体" w:eastAsia="宋体" w:cs="宋体"/>
                <w:sz w:val="18"/>
                <w:szCs w:val="18"/>
                <w:highlight w:val="none"/>
              </w:rPr>
            </w:pPr>
            <w:r>
              <w:rPr>
                <w:rFonts w:hint="eastAsia" w:ascii="宋体" w:hAnsi="宋体" w:eastAsia="宋体" w:cs="宋体"/>
                <w:spacing w:val="-1"/>
                <w:sz w:val="18"/>
                <w:szCs w:val="18"/>
                <w:highlight w:val="none"/>
              </w:rPr>
              <w:t>HFC-143a</w:t>
            </w:r>
          </w:p>
        </w:tc>
        <w:tc>
          <w:tcPr>
            <w:tcW w:w="1641" w:type="pct"/>
          </w:tcPr>
          <w:p w14:paraId="4B737D60">
            <w:pPr>
              <w:spacing w:before="94" w:line="196" w:lineRule="auto"/>
              <w:ind w:left="1021"/>
              <w:rPr>
                <w:rFonts w:hint="eastAsia" w:ascii="宋体" w:hAnsi="宋体" w:eastAsia="宋体" w:cs="宋体"/>
                <w:sz w:val="18"/>
                <w:szCs w:val="18"/>
                <w:highlight w:val="none"/>
              </w:rPr>
            </w:pPr>
            <w:r>
              <w:rPr>
                <w:rFonts w:hint="eastAsia" w:ascii="宋体" w:hAnsi="宋体" w:eastAsia="宋体" w:cs="宋体"/>
                <w:sz w:val="18"/>
                <w:szCs w:val="18"/>
                <w:highlight w:val="none"/>
              </w:rPr>
              <w:t>CH</w:t>
            </w:r>
            <w:r>
              <w:rPr>
                <w:rFonts w:hint="eastAsia" w:ascii="宋体" w:hAnsi="宋体" w:eastAsia="宋体" w:cs="宋体"/>
                <w:spacing w:val="2"/>
                <w:position w:val="-1"/>
                <w:sz w:val="18"/>
                <w:szCs w:val="18"/>
                <w:highlight w:val="none"/>
              </w:rPr>
              <w:t>3</w:t>
            </w:r>
            <w:r>
              <w:rPr>
                <w:rFonts w:hint="eastAsia" w:ascii="宋体" w:hAnsi="宋体" w:eastAsia="宋体" w:cs="宋体"/>
                <w:sz w:val="18"/>
                <w:szCs w:val="18"/>
                <w:highlight w:val="none"/>
              </w:rPr>
              <w:t>CF</w:t>
            </w:r>
            <w:r>
              <w:rPr>
                <w:rFonts w:hint="eastAsia" w:ascii="宋体" w:hAnsi="宋体" w:eastAsia="宋体" w:cs="宋体"/>
                <w:spacing w:val="2"/>
                <w:position w:val="-1"/>
                <w:sz w:val="18"/>
                <w:szCs w:val="18"/>
                <w:highlight w:val="none"/>
              </w:rPr>
              <w:t>3</w:t>
            </w:r>
          </w:p>
        </w:tc>
        <w:tc>
          <w:tcPr>
            <w:tcW w:w="2022" w:type="pct"/>
          </w:tcPr>
          <w:p w14:paraId="084810D8">
            <w:pPr>
              <w:spacing w:before="94" w:line="187" w:lineRule="auto"/>
              <w:ind w:left="1474"/>
              <w:rPr>
                <w:rFonts w:hint="eastAsia" w:ascii="宋体" w:hAnsi="宋体" w:eastAsia="宋体" w:cs="宋体"/>
                <w:sz w:val="18"/>
                <w:szCs w:val="18"/>
                <w:highlight w:val="none"/>
              </w:rPr>
            </w:pPr>
            <w:r>
              <w:rPr>
                <w:rFonts w:hint="eastAsia" w:ascii="宋体" w:hAnsi="宋体" w:eastAsia="宋体" w:cs="宋体"/>
                <w:color w:val="221F1F"/>
                <w:spacing w:val="-2"/>
                <w:sz w:val="18"/>
                <w:szCs w:val="18"/>
                <w:highlight w:val="none"/>
              </w:rPr>
              <w:t>5810</w:t>
            </w:r>
          </w:p>
        </w:tc>
      </w:tr>
      <w:tr w14:paraId="5B0805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336" w:type="pct"/>
          </w:tcPr>
          <w:p w14:paraId="0BEB1D1F">
            <w:pPr>
              <w:spacing w:before="94" w:line="187" w:lineRule="auto"/>
              <w:ind w:left="668"/>
              <w:rPr>
                <w:rFonts w:hint="eastAsia" w:ascii="宋体" w:hAnsi="宋体" w:eastAsia="宋体" w:cs="宋体"/>
                <w:sz w:val="18"/>
                <w:szCs w:val="18"/>
                <w:highlight w:val="none"/>
              </w:rPr>
            </w:pPr>
            <w:r>
              <w:rPr>
                <w:rFonts w:hint="eastAsia" w:ascii="宋体" w:hAnsi="宋体" w:eastAsia="宋体" w:cs="宋体"/>
                <w:spacing w:val="-1"/>
                <w:sz w:val="18"/>
                <w:szCs w:val="18"/>
                <w:highlight w:val="none"/>
              </w:rPr>
              <w:t>HFC-152a</w:t>
            </w:r>
          </w:p>
        </w:tc>
        <w:tc>
          <w:tcPr>
            <w:tcW w:w="1641" w:type="pct"/>
          </w:tcPr>
          <w:p w14:paraId="07DDB197">
            <w:pPr>
              <w:spacing w:before="95" w:line="196" w:lineRule="auto"/>
              <w:ind w:left="1057"/>
              <w:rPr>
                <w:rFonts w:hint="eastAsia" w:ascii="宋体" w:hAnsi="宋体" w:eastAsia="宋体" w:cs="宋体"/>
                <w:sz w:val="18"/>
                <w:szCs w:val="18"/>
                <w:highlight w:val="none"/>
              </w:rPr>
            </w:pPr>
            <w:r>
              <w:rPr>
                <w:rFonts w:hint="eastAsia" w:ascii="宋体" w:hAnsi="宋体" w:eastAsia="宋体" w:cs="宋体"/>
                <w:spacing w:val="1"/>
                <w:sz w:val="18"/>
                <w:szCs w:val="18"/>
                <w:highlight w:val="none"/>
              </w:rPr>
              <w:t>C</w:t>
            </w:r>
            <w:r>
              <w:rPr>
                <w:rFonts w:hint="eastAsia" w:ascii="宋体" w:hAnsi="宋体" w:eastAsia="宋体" w:cs="宋体"/>
                <w:spacing w:val="1"/>
                <w:position w:val="-1"/>
                <w:sz w:val="18"/>
                <w:szCs w:val="18"/>
                <w:highlight w:val="none"/>
              </w:rPr>
              <w:t>2</w:t>
            </w:r>
            <w:r>
              <w:rPr>
                <w:rFonts w:hint="eastAsia" w:ascii="宋体" w:hAnsi="宋体" w:eastAsia="宋体" w:cs="宋体"/>
                <w:spacing w:val="1"/>
                <w:sz w:val="18"/>
                <w:szCs w:val="18"/>
                <w:highlight w:val="none"/>
              </w:rPr>
              <w:t>H</w:t>
            </w:r>
            <w:r>
              <w:rPr>
                <w:rFonts w:hint="eastAsia" w:ascii="宋体" w:hAnsi="宋体" w:eastAsia="宋体" w:cs="宋体"/>
                <w:spacing w:val="1"/>
                <w:position w:val="-1"/>
                <w:sz w:val="18"/>
                <w:szCs w:val="18"/>
                <w:highlight w:val="none"/>
              </w:rPr>
              <w:t>4</w:t>
            </w:r>
            <w:r>
              <w:rPr>
                <w:rFonts w:hint="eastAsia" w:ascii="宋体" w:hAnsi="宋体" w:eastAsia="宋体" w:cs="宋体"/>
                <w:spacing w:val="1"/>
                <w:sz w:val="18"/>
                <w:szCs w:val="18"/>
                <w:highlight w:val="none"/>
              </w:rPr>
              <w:t>F</w:t>
            </w:r>
            <w:r>
              <w:rPr>
                <w:rFonts w:hint="eastAsia" w:ascii="宋体" w:hAnsi="宋体" w:eastAsia="宋体" w:cs="宋体"/>
                <w:spacing w:val="1"/>
                <w:position w:val="-1"/>
                <w:sz w:val="18"/>
                <w:szCs w:val="18"/>
                <w:highlight w:val="none"/>
              </w:rPr>
              <w:t>2</w:t>
            </w:r>
          </w:p>
        </w:tc>
        <w:tc>
          <w:tcPr>
            <w:tcW w:w="2022" w:type="pct"/>
          </w:tcPr>
          <w:p w14:paraId="609118C8">
            <w:pPr>
              <w:spacing w:before="94" w:line="187" w:lineRule="auto"/>
              <w:ind w:left="1542"/>
              <w:rPr>
                <w:rFonts w:hint="eastAsia" w:ascii="宋体" w:hAnsi="宋体" w:eastAsia="宋体" w:cs="宋体"/>
                <w:sz w:val="18"/>
                <w:szCs w:val="18"/>
                <w:highlight w:val="none"/>
              </w:rPr>
            </w:pPr>
            <w:r>
              <w:rPr>
                <w:rFonts w:hint="eastAsia" w:ascii="宋体" w:hAnsi="宋体" w:eastAsia="宋体" w:cs="宋体"/>
                <w:color w:val="221F1F"/>
                <w:spacing w:val="-6"/>
                <w:sz w:val="18"/>
                <w:szCs w:val="18"/>
                <w:highlight w:val="none"/>
              </w:rPr>
              <w:t>164</w:t>
            </w:r>
          </w:p>
        </w:tc>
      </w:tr>
      <w:tr w14:paraId="5BE6AA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 w:hRule="atLeast"/>
        </w:trPr>
        <w:tc>
          <w:tcPr>
            <w:tcW w:w="1336" w:type="pct"/>
          </w:tcPr>
          <w:p w14:paraId="1F651CDD">
            <w:pPr>
              <w:spacing w:before="96" w:line="187" w:lineRule="auto"/>
              <w:ind w:left="620"/>
              <w:rPr>
                <w:rFonts w:hint="eastAsia" w:ascii="宋体" w:hAnsi="宋体" w:eastAsia="宋体" w:cs="宋体"/>
                <w:sz w:val="18"/>
                <w:szCs w:val="18"/>
                <w:highlight w:val="none"/>
              </w:rPr>
            </w:pPr>
            <w:r>
              <w:rPr>
                <w:rFonts w:hint="eastAsia" w:ascii="宋体" w:hAnsi="宋体" w:eastAsia="宋体" w:cs="宋体"/>
                <w:spacing w:val="-1"/>
                <w:sz w:val="18"/>
                <w:szCs w:val="18"/>
                <w:highlight w:val="none"/>
              </w:rPr>
              <w:t>HFC-227ea</w:t>
            </w:r>
          </w:p>
        </w:tc>
        <w:tc>
          <w:tcPr>
            <w:tcW w:w="1641" w:type="pct"/>
          </w:tcPr>
          <w:p w14:paraId="6C8D5CF3">
            <w:pPr>
              <w:spacing w:before="97" w:line="196" w:lineRule="auto"/>
              <w:ind w:left="1091"/>
              <w:rPr>
                <w:rFonts w:hint="eastAsia" w:ascii="宋体" w:hAnsi="宋体" w:eastAsia="宋体" w:cs="宋体"/>
                <w:sz w:val="18"/>
                <w:szCs w:val="18"/>
                <w:highlight w:val="none"/>
              </w:rPr>
            </w:pPr>
            <w:r>
              <w:rPr>
                <w:rFonts w:hint="eastAsia" w:ascii="宋体" w:hAnsi="宋体" w:eastAsia="宋体" w:cs="宋体"/>
                <w:spacing w:val="1"/>
                <w:sz w:val="18"/>
                <w:szCs w:val="18"/>
                <w:highlight w:val="none"/>
              </w:rPr>
              <w:t>C</w:t>
            </w:r>
            <w:r>
              <w:rPr>
                <w:rFonts w:hint="eastAsia" w:ascii="宋体" w:hAnsi="宋体" w:eastAsia="宋体" w:cs="宋体"/>
                <w:spacing w:val="1"/>
                <w:position w:val="-1"/>
                <w:sz w:val="18"/>
                <w:szCs w:val="18"/>
                <w:highlight w:val="none"/>
              </w:rPr>
              <w:t>3</w:t>
            </w:r>
            <w:r>
              <w:rPr>
                <w:rFonts w:hint="eastAsia" w:ascii="宋体" w:hAnsi="宋体" w:eastAsia="宋体" w:cs="宋体"/>
                <w:sz w:val="18"/>
                <w:szCs w:val="18"/>
                <w:highlight w:val="none"/>
              </w:rPr>
              <w:t>HF</w:t>
            </w:r>
            <w:r>
              <w:rPr>
                <w:rFonts w:hint="eastAsia" w:ascii="宋体" w:hAnsi="宋体" w:eastAsia="宋体" w:cs="宋体"/>
                <w:spacing w:val="1"/>
                <w:position w:val="-1"/>
                <w:sz w:val="18"/>
                <w:szCs w:val="18"/>
                <w:highlight w:val="none"/>
              </w:rPr>
              <w:t>7</w:t>
            </w:r>
          </w:p>
        </w:tc>
        <w:tc>
          <w:tcPr>
            <w:tcW w:w="2022" w:type="pct"/>
          </w:tcPr>
          <w:p w14:paraId="69F7A226">
            <w:pPr>
              <w:spacing w:before="96" w:line="187" w:lineRule="auto"/>
              <w:ind w:left="1473"/>
              <w:rPr>
                <w:rFonts w:hint="eastAsia" w:ascii="宋体" w:hAnsi="宋体" w:eastAsia="宋体" w:cs="宋体"/>
                <w:sz w:val="18"/>
                <w:szCs w:val="18"/>
                <w:highlight w:val="none"/>
              </w:rPr>
            </w:pPr>
            <w:r>
              <w:rPr>
                <w:rFonts w:hint="eastAsia" w:ascii="宋体" w:hAnsi="宋体" w:eastAsia="宋体" w:cs="宋体"/>
                <w:color w:val="221F1F"/>
                <w:spacing w:val="-2"/>
                <w:sz w:val="18"/>
                <w:szCs w:val="18"/>
                <w:highlight w:val="none"/>
              </w:rPr>
              <w:t>3600</w:t>
            </w:r>
          </w:p>
        </w:tc>
      </w:tr>
      <w:tr w14:paraId="41D8A8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336" w:type="pct"/>
          </w:tcPr>
          <w:p w14:paraId="2ACF63E0">
            <w:pPr>
              <w:spacing w:before="91" w:line="190" w:lineRule="auto"/>
              <w:ind w:left="632"/>
              <w:rPr>
                <w:rFonts w:hint="eastAsia" w:ascii="宋体" w:hAnsi="宋体" w:eastAsia="宋体" w:cs="宋体"/>
                <w:sz w:val="18"/>
                <w:szCs w:val="18"/>
                <w:highlight w:val="none"/>
              </w:rPr>
            </w:pPr>
            <w:r>
              <w:rPr>
                <w:rFonts w:hint="eastAsia" w:ascii="宋体" w:hAnsi="宋体" w:eastAsia="宋体" w:cs="宋体"/>
                <w:sz w:val="18"/>
                <w:szCs w:val="18"/>
                <w:highlight w:val="none"/>
              </w:rPr>
              <w:t>HFC</w:t>
            </w:r>
            <w:r>
              <w:rPr>
                <w:rFonts w:hint="eastAsia" w:ascii="宋体" w:hAnsi="宋体" w:eastAsia="宋体" w:cs="宋体"/>
                <w:spacing w:val="5"/>
                <w:sz w:val="18"/>
                <w:szCs w:val="18"/>
                <w:highlight w:val="none"/>
              </w:rPr>
              <w:t>-236</w:t>
            </w:r>
            <w:r>
              <w:rPr>
                <w:rFonts w:hint="eastAsia" w:ascii="宋体" w:hAnsi="宋体" w:eastAsia="宋体" w:cs="宋体"/>
                <w:sz w:val="18"/>
                <w:szCs w:val="18"/>
                <w:highlight w:val="none"/>
              </w:rPr>
              <w:t>fa</w:t>
            </w:r>
          </w:p>
        </w:tc>
        <w:tc>
          <w:tcPr>
            <w:tcW w:w="1641" w:type="pct"/>
          </w:tcPr>
          <w:p w14:paraId="26A5A6C1">
            <w:pPr>
              <w:spacing w:before="95" w:line="196" w:lineRule="auto"/>
              <w:ind w:left="1057"/>
              <w:rPr>
                <w:rFonts w:hint="eastAsia" w:ascii="宋体" w:hAnsi="宋体" w:eastAsia="宋体" w:cs="宋体"/>
                <w:sz w:val="18"/>
                <w:szCs w:val="18"/>
                <w:highlight w:val="none"/>
              </w:rPr>
            </w:pPr>
            <w:r>
              <w:rPr>
                <w:rFonts w:hint="eastAsia" w:ascii="宋体" w:hAnsi="宋体" w:eastAsia="宋体" w:cs="宋体"/>
                <w:spacing w:val="1"/>
                <w:sz w:val="18"/>
                <w:szCs w:val="18"/>
                <w:highlight w:val="none"/>
              </w:rPr>
              <w:t>C</w:t>
            </w:r>
            <w:r>
              <w:rPr>
                <w:rFonts w:hint="eastAsia" w:ascii="宋体" w:hAnsi="宋体" w:eastAsia="宋体" w:cs="宋体"/>
                <w:spacing w:val="1"/>
                <w:position w:val="-1"/>
                <w:sz w:val="18"/>
                <w:szCs w:val="18"/>
                <w:highlight w:val="none"/>
              </w:rPr>
              <w:t>3</w:t>
            </w:r>
            <w:r>
              <w:rPr>
                <w:rFonts w:hint="eastAsia" w:ascii="宋体" w:hAnsi="宋体" w:eastAsia="宋体" w:cs="宋体"/>
                <w:spacing w:val="1"/>
                <w:sz w:val="18"/>
                <w:szCs w:val="18"/>
                <w:highlight w:val="none"/>
              </w:rPr>
              <w:t>H</w:t>
            </w:r>
            <w:r>
              <w:rPr>
                <w:rFonts w:hint="eastAsia" w:ascii="宋体" w:hAnsi="宋体" w:eastAsia="宋体" w:cs="宋体"/>
                <w:spacing w:val="1"/>
                <w:position w:val="-1"/>
                <w:sz w:val="18"/>
                <w:szCs w:val="18"/>
                <w:highlight w:val="none"/>
              </w:rPr>
              <w:t>2</w:t>
            </w:r>
            <w:r>
              <w:rPr>
                <w:rFonts w:hint="eastAsia" w:ascii="宋体" w:hAnsi="宋体" w:eastAsia="宋体" w:cs="宋体"/>
                <w:spacing w:val="1"/>
                <w:sz w:val="18"/>
                <w:szCs w:val="18"/>
                <w:highlight w:val="none"/>
              </w:rPr>
              <w:t>F</w:t>
            </w:r>
            <w:r>
              <w:rPr>
                <w:rFonts w:hint="eastAsia" w:ascii="宋体" w:hAnsi="宋体" w:eastAsia="宋体" w:cs="宋体"/>
                <w:spacing w:val="1"/>
                <w:position w:val="-1"/>
                <w:sz w:val="18"/>
                <w:szCs w:val="18"/>
                <w:highlight w:val="none"/>
              </w:rPr>
              <w:t>6</w:t>
            </w:r>
          </w:p>
        </w:tc>
        <w:tc>
          <w:tcPr>
            <w:tcW w:w="2022" w:type="pct"/>
          </w:tcPr>
          <w:p w14:paraId="7BC38095">
            <w:pPr>
              <w:spacing w:before="94" w:line="187" w:lineRule="auto"/>
              <w:ind w:left="1477"/>
              <w:rPr>
                <w:rFonts w:hint="eastAsia" w:ascii="宋体" w:hAnsi="宋体" w:eastAsia="宋体" w:cs="宋体"/>
                <w:sz w:val="18"/>
                <w:szCs w:val="18"/>
                <w:highlight w:val="none"/>
              </w:rPr>
            </w:pPr>
            <w:r>
              <w:rPr>
                <w:rFonts w:hint="eastAsia" w:ascii="宋体" w:hAnsi="宋体" w:eastAsia="宋体" w:cs="宋体"/>
                <w:color w:val="221F1F"/>
                <w:spacing w:val="-2"/>
                <w:sz w:val="18"/>
                <w:szCs w:val="18"/>
                <w:highlight w:val="none"/>
              </w:rPr>
              <w:t>8690</w:t>
            </w:r>
          </w:p>
        </w:tc>
      </w:tr>
      <w:tr w14:paraId="4452E5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5000" w:type="pct"/>
            <w:gridSpan w:val="3"/>
          </w:tcPr>
          <w:p w14:paraId="761F661A">
            <w:pPr>
              <w:pStyle w:val="154"/>
              <w:spacing w:before="55" w:line="214" w:lineRule="auto"/>
              <w:jc w:val="center"/>
              <w:rPr>
                <w:rFonts w:hint="eastAsia" w:ascii="宋体" w:hAnsi="宋体" w:eastAsia="宋体" w:cs="宋体"/>
                <w:sz w:val="18"/>
                <w:szCs w:val="18"/>
                <w:highlight w:val="none"/>
              </w:rPr>
            </w:pPr>
            <w:r>
              <w:rPr>
                <w:rFonts w:hint="eastAsia" w:ascii="宋体" w:hAnsi="宋体" w:eastAsia="宋体" w:cs="宋体"/>
                <w:spacing w:val="-1"/>
                <w:sz w:val="18"/>
                <w:szCs w:val="18"/>
                <w:highlight w:val="none"/>
              </w:rPr>
              <w:t>全氟碳化物 (PFCs)</w:t>
            </w:r>
          </w:p>
        </w:tc>
      </w:tr>
      <w:tr w14:paraId="45A8C1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336" w:type="pct"/>
          </w:tcPr>
          <w:p w14:paraId="78EB5543">
            <w:pPr>
              <w:pStyle w:val="154"/>
              <w:spacing w:before="55" w:line="214" w:lineRule="auto"/>
              <w:ind w:left="204"/>
              <w:rPr>
                <w:rFonts w:hint="eastAsia" w:ascii="宋体" w:hAnsi="宋体" w:eastAsia="宋体" w:cs="宋体"/>
                <w:sz w:val="18"/>
                <w:szCs w:val="18"/>
                <w:highlight w:val="none"/>
              </w:rPr>
            </w:pPr>
            <w:r>
              <w:rPr>
                <w:rFonts w:hint="eastAsia" w:ascii="宋体" w:hAnsi="宋体" w:eastAsia="宋体" w:cs="宋体"/>
                <w:spacing w:val="-1"/>
                <w:sz w:val="18"/>
                <w:szCs w:val="18"/>
                <w:highlight w:val="none"/>
              </w:rPr>
              <w:t>全氟甲烷(四氟甲烷)</w:t>
            </w:r>
          </w:p>
        </w:tc>
        <w:tc>
          <w:tcPr>
            <w:tcW w:w="1641" w:type="pct"/>
          </w:tcPr>
          <w:p w14:paraId="138D726F">
            <w:pPr>
              <w:spacing w:before="94" w:line="196" w:lineRule="auto"/>
              <w:ind w:left="1204"/>
              <w:rPr>
                <w:rFonts w:hint="eastAsia" w:ascii="宋体" w:hAnsi="宋体" w:eastAsia="宋体" w:cs="宋体"/>
                <w:sz w:val="18"/>
                <w:szCs w:val="18"/>
                <w:highlight w:val="none"/>
              </w:rPr>
            </w:pPr>
            <w:r>
              <w:rPr>
                <w:rFonts w:hint="eastAsia" w:ascii="宋体" w:hAnsi="宋体" w:eastAsia="宋体" w:cs="宋体"/>
                <w:spacing w:val="-1"/>
                <w:sz w:val="18"/>
                <w:szCs w:val="18"/>
                <w:highlight w:val="none"/>
              </w:rPr>
              <w:t>CF</w:t>
            </w:r>
            <w:r>
              <w:rPr>
                <w:rFonts w:hint="eastAsia" w:ascii="宋体" w:hAnsi="宋体" w:eastAsia="宋体" w:cs="宋体"/>
                <w:spacing w:val="-1"/>
                <w:position w:val="-1"/>
                <w:sz w:val="18"/>
                <w:szCs w:val="18"/>
                <w:highlight w:val="none"/>
              </w:rPr>
              <w:t>4</w:t>
            </w:r>
          </w:p>
        </w:tc>
        <w:tc>
          <w:tcPr>
            <w:tcW w:w="2022" w:type="pct"/>
          </w:tcPr>
          <w:p w14:paraId="0582CFF5">
            <w:pPr>
              <w:spacing w:before="94" w:line="187" w:lineRule="auto"/>
              <w:ind w:left="1472"/>
              <w:rPr>
                <w:rFonts w:hint="eastAsia" w:ascii="宋体" w:hAnsi="宋体" w:eastAsia="宋体" w:cs="宋体"/>
                <w:sz w:val="18"/>
                <w:szCs w:val="18"/>
                <w:highlight w:val="none"/>
              </w:rPr>
            </w:pPr>
            <w:r>
              <w:rPr>
                <w:rFonts w:hint="eastAsia" w:ascii="宋体" w:hAnsi="宋体" w:eastAsia="宋体" w:cs="宋体"/>
                <w:color w:val="221F1F"/>
                <w:spacing w:val="-2"/>
                <w:sz w:val="18"/>
                <w:szCs w:val="18"/>
                <w:highlight w:val="none"/>
              </w:rPr>
              <w:t>7380</w:t>
            </w:r>
          </w:p>
        </w:tc>
      </w:tr>
      <w:tr w14:paraId="73CC2E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336" w:type="pct"/>
          </w:tcPr>
          <w:p w14:paraId="1F9274D7">
            <w:pPr>
              <w:pStyle w:val="154"/>
              <w:spacing w:before="54" w:line="214" w:lineRule="auto"/>
              <w:ind w:left="204"/>
              <w:rPr>
                <w:rFonts w:hint="eastAsia" w:ascii="宋体" w:hAnsi="宋体" w:eastAsia="宋体" w:cs="宋体"/>
                <w:sz w:val="18"/>
                <w:szCs w:val="18"/>
                <w:highlight w:val="none"/>
              </w:rPr>
            </w:pPr>
            <w:r>
              <w:rPr>
                <w:rFonts w:hint="eastAsia" w:ascii="宋体" w:hAnsi="宋体" w:eastAsia="宋体" w:cs="宋体"/>
                <w:spacing w:val="-1"/>
                <w:sz w:val="18"/>
                <w:szCs w:val="18"/>
                <w:highlight w:val="none"/>
              </w:rPr>
              <w:t>全氟乙烷(六氟乙烷)</w:t>
            </w:r>
          </w:p>
        </w:tc>
        <w:tc>
          <w:tcPr>
            <w:tcW w:w="1641" w:type="pct"/>
          </w:tcPr>
          <w:p w14:paraId="0E0CC328">
            <w:pPr>
              <w:spacing w:before="94" w:line="196" w:lineRule="auto"/>
              <w:ind w:left="1168"/>
              <w:rPr>
                <w:rFonts w:hint="eastAsia" w:ascii="宋体" w:hAnsi="宋体" w:eastAsia="宋体" w:cs="宋体"/>
                <w:sz w:val="18"/>
                <w:szCs w:val="18"/>
                <w:highlight w:val="none"/>
              </w:rPr>
            </w:pPr>
            <w:r>
              <w:rPr>
                <w:rFonts w:hint="eastAsia" w:ascii="宋体" w:hAnsi="宋体" w:eastAsia="宋体" w:cs="宋体"/>
                <w:sz w:val="18"/>
                <w:szCs w:val="18"/>
                <w:highlight w:val="none"/>
              </w:rPr>
              <w:t>C</w:t>
            </w:r>
            <w:r>
              <w:rPr>
                <w:rFonts w:hint="eastAsia" w:ascii="宋体" w:hAnsi="宋体" w:eastAsia="宋体" w:cs="宋体"/>
                <w:position w:val="-1"/>
                <w:sz w:val="18"/>
                <w:szCs w:val="18"/>
                <w:highlight w:val="none"/>
              </w:rPr>
              <w:t>2</w:t>
            </w:r>
            <w:r>
              <w:rPr>
                <w:rFonts w:hint="eastAsia" w:ascii="宋体" w:hAnsi="宋体" w:eastAsia="宋体" w:cs="宋体"/>
                <w:sz w:val="18"/>
                <w:szCs w:val="18"/>
                <w:highlight w:val="none"/>
              </w:rPr>
              <w:t>F</w:t>
            </w:r>
            <w:r>
              <w:rPr>
                <w:rFonts w:hint="eastAsia" w:ascii="宋体" w:hAnsi="宋体" w:eastAsia="宋体" w:cs="宋体"/>
                <w:position w:val="-1"/>
                <w:sz w:val="18"/>
                <w:szCs w:val="18"/>
                <w:highlight w:val="none"/>
              </w:rPr>
              <w:t>6</w:t>
            </w:r>
          </w:p>
        </w:tc>
        <w:tc>
          <w:tcPr>
            <w:tcW w:w="2022" w:type="pct"/>
          </w:tcPr>
          <w:p w14:paraId="6781DC7A">
            <w:pPr>
              <w:spacing w:before="93" w:line="187" w:lineRule="auto"/>
              <w:ind w:left="1436"/>
              <w:rPr>
                <w:rFonts w:hint="eastAsia" w:ascii="宋体" w:hAnsi="宋体" w:eastAsia="宋体" w:cs="宋体"/>
                <w:sz w:val="18"/>
                <w:szCs w:val="18"/>
                <w:highlight w:val="none"/>
              </w:rPr>
            </w:pPr>
            <w:r>
              <w:rPr>
                <w:rFonts w:hint="eastAsia" w:ascii="宋体" w:hAnsi="宋体" w:eastAsia="宋体" w:cs="宋体"/>
                <w:color w:val="221F1F"/>
                <w:spacing w:val="-4"/>
                <w:sz w:val="18"/>
                <w:szCs w:val="18"/>
                <w:highlight w:val="none"/>
              </w:rPr>
              <w:t>12400</w:t>
            </w:r>
          </w:p>
        </w:tc>
      </w:tr>
      <w:tr w14:paraId="23EF9A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336" w:type="pct"/>
          </w:tcPr>
          <w:p w14:paraId="72E98AAD">
            <w:pPr>
              <w:pStyle w:val="154"/>
              <w:spacing w:before="54" w:line="221" w:lineRule="auto"/>
              <w:ind w:left="694"/>
              <w:rPr>
                <w:rFonts w:hint="eastAsia" w:ascii="宋体" w:hAnsi="宋体" w:eastAsia="宋体" w:cs="宋体"/>
                <w:sz w:val="18"/>
                <w:szCs w:val="18"/>
                <w:highlight w:val="none"/>
              </w:rPr>
            </w:pPr>
            <w:r>
              <w:rPr>
                <w:rFonts w:hint="eastAsia" w:ascii="宋体" w:hAnsi="宋体" w:eastAsia="宋体" w:cs="宋体"/>
                <w:spacing w:val="-2"/>
                <w:sz w:val="18"/>
                <w:szCs w:val="18"/>
                <w:highlight w:val="none"/>
              </w:rPr>
              <w:t>全氟丙烷</w:t>
            </w:r>
          </w:p>
        </w:tc>
        <w:tc>
          <w:tcPr>
            <w:tcW w:w="1641" w:type="pct"/>
          </w:tcPr>
          <w:p w14:paraId="3A059D10">
            <w:pPr>
              <w:spacing w:before="93" w:line="196" w:lineRule="auto"/>
              <w:ind w:left="1168"/>
              <w:rPr>
                <w:rFonts w:hint="eastAsia" w:ascii="宋体" w:hAnsi="宋体" w:eastAsia="宋体" w:cs="宋体"/>
                <w:sz w:val="18"/>
                <w:szCs w:val="18"/>
                <w:highlight w:val="none"/>
              </w:rPr>
            </w:pPr>
            <w:r>
              <w:rPr>
                <w:rFonts w:hint="eastAsia" w:ascii="宋体" w:hAnsi="宋体" w:eastAsia="宋体" w:cs="宋体"/>
                <w:sz w:val="18"/>
                <w:szCs w:val="18"/>
                <w:highlight w:val="none"/>
              </w:rPr>
              <w:t>C</w:t>
            </w:r>
            <w:r>
              <w:rPr>
                <w:rFonts w:hint="eastAsia" w:ascii="宋体" w:hAnsi="宋体" w:eastAsia="宋体" w:cs="宋体"/>
                <w:position w:val="-1"/>
                <w:sz w:val="18"/>
                <w:szCs w:val="18"/>
                <w:highlight w:val="none"/>
              </w:rPr>
              <w:t>3</w:t>
            </w:r>
            <w:r>
              <w:rPr>
                <w:rFonts w:hint="eastAsia" w:ascii="宋体" w:hAnsi="宋体" w:eastAsia="宋体" w:cs="宋体"/>
                <w:sz w:val="18"/>
                <w:szCs w:val="18"/>
                <w:highlight w:val="none"/>
              </w:rPr>
              <w:t>F</w:t>
            </w:r>
            <w:r>
              <w:rPr>
                <w:rFonts w:hint="eastAsia" w:ascii="宋体" w:hAnsi="宋体" w:eastAsia="宋体" w:cs="宋体"/>
                <w:position w:val="-1"/>
                <w:sz w:val="18"/>
                <w:szCs w:val="18"/>
                <w:highlight w:val="none"/>
              </w:rPr>
              <w:t>8</w:t>
            </w:r>
          </w:p>
        </w:tc>
        <w:tc>
          <w:tcPr>
            <w:tcW w:w="2022" w:type="pct"/>
          </w:tcPr>
          <w:p w14:paraId="6E65928A">
            <w:pPr>
              <w:spacing w:before="93" w:line="187" w:lineRule="auto"/>
              <w:ind w:left="1473"/>
              <w:rPr>
                <w:rFonts w:hint="eastAsia" w:ascii="宋体" w:hAnsi="宋体" w:eastAsia="宋体" w:cs="宋体"/>
                <w:sz w:val="18"/>
                <w:szCs w:val="18"/>
                <w:highlight w:val="none"/>
              </w:rPr>
            </w:pPr>
            <w:r>
              <w:rPr>
                <w:rFonts w:hint="eastAsia" w:ascii="宋体" w:hAnsi="宋体" w:eastAsia="宋体" w:cs="宋体"/>
                <w:color w:val="221F1F"/>
                <w:spacing w:val="-2"/>
                <w:sz w:val="18"/>
                <w:szCs w:val="18"/>
                <w:highlight w:val="none"/>
              </w:rPr>
              <w:t>9290</w:t>
            </w:r>
          </w:p>
        </w:tc>
      </w:tr>
      <w:tr w14:paraId="48EBB6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 w:hRule="atLeast"/>
        </w:trPr>
        <w:tc>
          <w:tcPr>
            <w:tcW w:w="1336" w:type="pct"/>
          </w:tcPr>
          <w:p w14:paraId="48BDF5F2">
            <w:pPr>
              <w:pStyle w:val="154"/>
              <w:spacing w:before="57" w:line="221" w:lineRule="auto"/>
              <w:ind w:left="694"/>
              <w:rPr>
                <w:rFonts w:hint="eastAsia" w:ascii="宋体" w:hAnsi="宋体" w:eastAsia="宋体" w:cs="宋体"/>
                <w:sz w:val="18"/>
                <w:szCs w:val="18"/>
                <w:highlight w:val="none"/>
              </w:rPr>
            </w:pPr>
            <w:r>
              <w:rPr>
                <w:rFonts w:hint="eastAsia" w:ascii="宋体" w:hAnsi="宋体" w:eastAsia="宋体" w:cs="宋体"/>
                <w:spacing w:val="-2"/>
                <w:sz w:val="18"/>
                <w:szCs w:val="18"/>
                <w:highlight w:val="none"/>
              </w:rPr>
              <w:t>全氟丁烷</w:t>
            </w:r>
          </w:p>
        </w:tc>
        <w:tc>
          <w:tcPr>
            <w:tcW w:w="1641" w:type="pct"/>
          </w:tcPr>
          <w:p w14:paraId="5946D19C">
            <w:pPr>
              <w:spacing w:before="96" w:line="196" w:lineRule="auto"/>
              <w:ind w:left="1132"/>
              <w:rPr>
                <w:rFonts w:hint="eastAsia" w:ascii="宋体" w:hAnsi="宋体" w:eastAsia="宋体" w:cs="宋体"/>
                <w:sz w:val="18"/>
                <w:szCs w:val="18"/>
                <w:highlight w:val="none"/>
              </w:rPr>
            </w:pPr>
            <w:r>
              <w:rPr>
                <w:rFonts w:hint="eastAsia" w:ascii="宋体" w:hAnsi="宋体" w:eastAsia="宋体" w:cs="宋体"/>
                <w:spacing w:val="2"/>
                <w:sz w:val="18"/>
                <w:szCs w:val="18"/>
                <w:highlight w:val="none"/>
              </w:rPr>
              <w:t>C</w:t>
            </w:r>
            <w:r>
              <w:rPr>
                <w:rFonts w:hint="eastAsia" w:ascii="宋体" w:hAnsi="宋体" w:eastAsia="宋体" w:cs="宋体"/>
                <w:spacing w:val="2"/>
                <w:position w:val="-1"/>
                <w:sz w:val="18"/>
                <w:szCs w:val="18"/>
                <w:highlight w:val="none"/>
              </w:rPr>
              <w:t>4</w:t>
            </w:r>
            <w:r>
              <w:rPr>
                <w:rFonts w:hint="eastAsia" w:ascii="宋体" w:hAnsi="宋体" w:eastAsia="宋体" w:cs="宋体"/>
                <w:spacing w:val="2"/>
                <w:sz w:val="18"/>
                <w:szCs w:val="18"/>
                <w:highlight w:val="none"/>
              </w:rPr>
              <w:t>F</w:t>
            </w:r>
            <w:r>
              <w:rPr>
                <w:rFonts w:hint="eastAsia" w:ascii="宋体" w:hAnsi="宋体" w:eastAsia="宋体" w:cs="宋体"/>
                <w:spacing w:val="2"/>
                <w:position w:val="-1"/>
                <w:sz w:val="18"/>
                <w:szCs w:val="18"/>
                <w:highlight w:val="none"/>
              </w:rPr>
              <w:t>10</w:t>
            </w:r>
          </w:p>
        </w:tc>
        <w:tc>
          <w:tcPr>
            <w:tcW w:w="2022" w:type="pct"/>
          </w:tcPr>
          <w:p w14:paraId="01F029A7">
            <w:pPr>
              <w:spacing w:before="96" w:line="187" w:lineRule="auto"/>
              <w:ind w:left="1436"/>
              <w:rPr>
                <w:rFonts w:hint="eastAsia" w:ascii="宋体" w:hAnsi="宋体" w:eastAsia="宋体" w:cs="宋体"/>
                <w:sz w:val="18"/>
                <w:szCs w:val="18"/>
                <w:highlight w:val="none"/>
              </w:rPr>
            </w:pPr>
            <w:r>
              <w:rPr>
                <w:rFonts w:hint="eastAsia" w:ascii="宋体" w:hAnsi="宋体" w:eastAsia="宋体" w:cs="宋体"/>
                <w:color w:val="221F1F"/>
                <w:spacing w:val="-4"/>
                <w:sz w:val="18"/>
                <w:szCs w:val="18"/>
                <w:highlight w:val="none"/>
              </w:rPr>
              <w:t>10000</w:t>
            </w:r>
          </w:p>
        </w:tc>
      </w:tr>
      <w:tr w14:paraId="3D6D30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336" w:type="pct"/>
          </w:tcPr>
          <w:p w14:paraId="7B22FB7C">
            <w:pPr>
              <w:pStyle w:val="154"/>
              <w:spacing w:before="54" w:line="221" w:lineRule="auto"/>
              <w:ind w:left="588"/>
              <w:rPr>
                <w:rFonts w:hint="eastAsia" w:ascii="宋体" w:hAnsi="宋体" w:eastAsia="宋体" w:cs="宋体"/>
                <w:sz w:val="18"/>
                <w:szCs w:val="18"/>
                <w:highlight w:val="none"/>
              </w:rPr>
            </w:pPr>
            <w:r>
              <w:rPr>
                <w:rFonts w:hint="eastAsia" w:ascii="宋体" w:hAnsi="宋体" w:eastAsia="宋体" w:cs="宋体"/>
                <w:spacing w:val="-1"/>
                <w:sz w:val="18"/>
                <w:szCs w:val="18"/>
                <w:highlight w:val="none"/>
              </w:rPr>
              <w:t>全氟环丁烷</w:t>
            </w:r>
          </w:p>
        </w:tc>
        <w:tc>
          <w:tcPr>
            <w:tcW w:w="1641" w:type="pct"/>
          </w:tcPr>
          <w:p w14:paraId="2902F77A">
            <w:pPr>
              <w:spacing w:before="94" w:line="196" w:lineRule="auto"/>
              <w:ind w:left="1168"/>
              <w:rPr>
                <w:rFonts w:hint="eastAsia" w:ascii="宋体" w:hAnsi="宋体" w:eastAsia="宋体" w:cs="宋体"/>
                <w:sz w:val="18"/>
                <w:szCs w:val="18"/>
                <w:highlight w:val="none"/>
              </w:rPr>
            </w:pPr>
            <w:r>
              <w:rPr>
                <w:rFonts w:hint="eastAsia" w:ascii="宋体" w:hAnsi="宋体" w:eastAsia="宋体" w:cs="宋体"/>
                <w:sz w:val="18"/>
                <w:szCs w:val="18"/>
                <w:highlight w:val="none"/>
              </w:rPr>
              <w:t>C</w:t>
            </w:r>
            <w:r>
              <w:rPr>
                <w:rFonts w:hint="eastAsia" w:ascii="宋体" w:hAnsi="宋体" w:eastAsia="宋体" w:cs="宋体"/>
                <w:position w:val="-1"/>
                <w:sz w:val="18"/>
                <w:szCs w:val="18"/>
                <w:highlight w:val="none"/>
              </w:rPr>
              <w:t>4</w:t>
            </w:r>
            <w:r>
              <w:rPr>
                <w:rFonts w:hint="eastAsia" w:ascii="宋体" w:hAnsi="宋体" w:eastAsia="宋体" w:cs="宋体"/>
                <w:sz w:val="18"/>
                <w:szCs w:val="18"/>
                <w:highlight w:val="none"/>
              </w:rPr>
              <w:t>F</w:t>
            </w:r>
            <w:r>
              <w:rPr>
                <w:rFonts w:hint="eastAsia" w:ascii="宋体" w:hAnsi="宋体" w:eastAsia="宋体" w:cs="宋体"/>
                <w:position w:val="-1"/>
                <w:sz w:val="18"/>
                <w:szCs w:val="18"/>
                <w:highlight w:val="none"/>
              </w:rPr>
              <w:t>8</w:t>
            </w:r>
          </w:p>
        </w:tc>
        <w:tc>
          <w:tcPr>
            <w:tcW w:w="2022" w:type="pct"/>
          </w:tcPr>
          <w:p w14:paraId="2B6D5029">
            <w:pPr>
              <w:spacing w:before="93" w:line="187" w:lineRule="auto"/>
              <w:ind w:left="1436"/>
              <w:rPr>
                <w:rFonts w:hint="eastAsia" w:ascii="宋体" w:hAnsi="宋体" w:eastAsia="宋体" w:cs="宋体"/>
                <w:sz w:val="18"/>
                <w:szCs w:val="18"/>
                <w:highlight w:val="none"/>
              </w:rPr>
            </w:pPr>
            <w:r>
              <w:rPr>
                <w:rFonts w:hint="eastAsia" w:ascii="宋体" w:hAnsi="宋体" w:eastAsia="宋体" w:cs="宋体"/>
                <w:color w:val="221F1F"/>
                <w:spacing w:val="-4"/>
                <w:sz w:val="18"/>
                <w:szCs w:val="18"/>
                <w:highlight w:val="none"/>
              </w:rPr>
              <w:t>10200</w:t>
            </w:r>
          </w:p>
        </w:tc>
      </w:tr>
      <w:tr w14:paraId="1FB353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336" w:type="pct"/>
          </w:tcPr>
          <w:p w14:paraId="201136AE">
            <w:pPr>
              <w:pStyle w:val="154"/>
              <w:spacing w:before="54" w:line="221" w:lineRule="auto"/>
              <w:ind w:left="694"/>
              <w:rPr>
                <w:rFonts w:hint="eastAsia" w:ascii="宋体" w:hAnsi="宋体" w:eastAsia="宋体" w:cs="宋体"/>
                <w:sz w:val="18"/>
                <w:szCs w:val="18"/>
                <w:highlight w:val="none"/>
              </w:rPr>
            </w:pPr>
            <w:r>
              <w:rPr>
                <w:rFonts w:hint="eastAsia" w:ascii="宋体" w:hAnsi="宋体" w:eastAsia="宋体" w:cs="宋体"/>
                <w:spacing w:val="-2"/>
                <w:sz w:val="18"/>
                <w:szCs w:val="18"/>
                <w:highlight w:val="none"/>
              </w:rPr>
              <w:t>全氟戊烷</w:t>
            </w:r>
          </w:p>
        </w:tc>
        <w:tc>
          <w:tcPr>
            <w:tcW w:w="1641" w:type="pct"/>
          </w:tcPr>
          <w:p w14:paraId="2FA1EBC3">
            <w:pPr>
              <w:spacing w:before="93" w:line="196" w:lineRule="auto"/>
              <w:ind w:left="1132"/>
              <w:rPr>
                <w:rFonts w:hint="eastAsia" w:ascii="宋体" w:hAnsi="宋体" w:eastAsia="宋体" w:cs="宋体"/>
                <w:sz w:val="18"/>
                <w:szCs w:val="18"/>
                <w:highlight w:val="none"/>
              </w:rPr>
            </w:pPr>
            <w:r>
              <w:rPr>
                <w:rFonts w:hint="eastAsia" w:ascii="宋体" w:hAnsi="宋体" w:eastAsia="宋体" w:cs="宋体"/>
                <w:spacing w:val="2"/>
                <w:sz w:val="18"/>
                <w:szCs w:val="18"/>
                <w:highlight w:val="none"/>
              </w:rPr>
              <w:t>C</w:t>
            </w:r>
            <w:r>
              <w:rPr>
                <w:rFonts w:hint="eastAsia" w:ascii="宋体" w:hAnsi="宋体" w:eastAsia="宋体" w:cs="宋体"/>
                <w:spacing w:val="2"/>
                <w:position w:val="-1"/>
                <w:sz w:val="18"/>
                <w:szCs w:val="18"/>
                <w:highlight w:val="none"/>
              </w:rPr>
              <w:t>5</w:t>
            </w:r>
            <w:r>
              <w:rPr>
                <w:rFonts w:hint="eastAsia" w:ascii="宋体" w:hAnsi="宋体" w:eastAsia="宋体" w:cs="宋体"/>
                <w:spacing w:val="2"/>
                <w:sz w:val="18"/>
                <w:szCs w:val="18"/>
                <w:highlight w:val="none"/>
              </w:rPr>
              <w:t>F</w:t>
            </w:r>
            <w:r>
              <w:rPr>
                <w:rFonts w:hint="eastAsia" w:ascii="宋体" w:hAnsi="宋体" w:eastAsia="宋体" w:cs="宋体"/>
                <w:spacing w:val="2"/>
                <w:position w:val="-1"/>
                <w:sz w:val="18"/>
                <w:szCs w:val="18"/>
                <w:highlight w:val="none"/>
              </w:rPr>
              <w:t>12</w:t>
            </w:r>
          </w:p>
        </w:tc>
        <w:tc>
          <w:tcPr>
            <w:tcW w:w="2022" w:type="pct"/>
          </w:tcPr>
          <w:p w14:paraId="68D7A4F2">
            <w:pPr>
              <w:spacing w:before="93" w:line="187" w:lineRule="auto"/>
              <w:ind w:left="1473"/>
              <w:rPr>
                <w:rFonts w:hint="eastAsia" w:ascii="宋体" w:hAnsi="宋体" w:eastAsia="宋体" w:cs="宋体"/>
                <w:sz w:val="18"/>
                <w:szCs w:val="18"/>
                <w:highlight w:val="none"/>
              </w:rPr>
            </w:pPr>
            <w:r>
              <w:rPr>
                <w:rFonts w:hint="eastAsia" w:ascii="宋体" w:hAnsi="宋体" w:eastAsia="宋体" w:cs="宋体"/>
                <w:color w:val="221F1F"/>
                <w:spacing w:val="-2"/>
                <w:sz w:val="18"/>
                <w:szCs w:val="18"/>
                <w:highlight w:val="none"/>
              </w:rPr>
              <w:t>9220</w:t>
            </w:r>
          </w:p>
        </w:tc>
      </w:tr>
      <w:tr w14:paraId="3D5A0C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336" w:type="pct"/>
          </w:tcPr>
          <w:p w14:paraId="4E86E430">
            <w:pPr>
              <w:pStyle w:val="154"/>
              <w:spacing w:before="55" w:line="220" w:lineRule="auto"/>
              <w:ind w:left="694"/>
              <w:rPr>
                <w:rFonts w:hint="eastAsia" w:ascii="宋体" w:hAnsi="宋体" w:eastAsia="宋体" w:cs="宋体"/>
                <w:sz w:val="18"/>
                <w:szCs w:val="18"/>
                <w:highlight w:val="none"/>
              </w:rPr>
            </w:pPr>
            <w:r>
              <w:rPr>
                <w:rFonts w:hint="eastAsia" w:ascii="宋体" w:hAnsi="宋体" w:eastAsia="宋体" w:cs="宋体"/>
                <w:spacing w:val="-2"/>
                <w:sz w:val="18"/>
                <w:szCs w:val="18"/>
                <w:highlight w:val="none"/>
              </w:rPr>
              <w:t>全氟己烷</w:t>
            </w:r>
          </w:p>
        </w:tc>
        <w:tc>
          <w:tcPr>
            <w:tcW w:w="1641" w:type="pct"/>
          </w:tcPr>
          <w:p w14:paraId="23E97C7D">
            <w:pPr>
              <w:spacing w:before="94" w:line="196" w:lineRule="auto"/>
              <w:ind w:left="1132"/>
              <w:rPr>
                <w:rFonts w:hint="eastAsia" w:ascii="宋体" w:hAnsi="宋体" w:eastAsia="宋体" w:cs="宋体"/>
                <w:sz w:val="18"/>
                <w:szCs w:val="18"/>
                <w:highlight w:val="none"/>
              </w:rPr>
            </w:pPr>
            <w:r>
              <w:rPr>
                <w:rFonts w:hint="eastAsia" w:ascii="宋体" w:hAnsi="宋体" w:eastAsia="宋体" w:cs="宋体"/>
                <w:spacing w:val="2"/>
                <w:sz w:val="18"/>
                <w:szCs w:val="18"/>
                <w:highlight w:val="none"/>
              </w:rPr>
              <w:t>C</w:t>
            </w:r>
            <w:r>
              <w:rPr>
                <w:rFonts w:hint="eastAsia" w:ascii="宋体" w:hAnsi="宋体" w:eastAsia="宋体" w:cs="宋体"/>
                <w:spacing w:val="2"/>
                <w:position w:val="-1"/>
                <w:sz w:val="18"/>
                <w:szCs w:val="18"/>
                <w:highlight w:val="none"/>
              </w:rPr>
              <w:t>6</w:t>
            </w:r>
            <w:r>
              <w:rPr>
                <w:rFonts w:hint="eastAsia" w:ascii="宋体" w:hAnsi="宋体" w:eastAsia="宋体" w:cs="宋体"/>
                <w:spacing w:val="2"/>
                <w:sz w:val="18"/>
                <w:szCs w:val="18"/>
                <w:highlight w:val="none"/>
              </w:rPr>
              <w:t>F</w:t>
            </w:r>
            <w:r>
              <w:rPr>
                <w:rFonts w:hint="eastAsia" w:ascii="宋体" w:hAnsi="宋体" w:eastAsia="宋体" w:cs="宋体"/>
                <w:spacing w:val="2"/>
                <w:position w:val="-1"/>
                <w:sz w:val="18"/>
                <w:szCs w:val="18"/>
                <w:highlight w:val="none"/>
              </w:rPr>
              <w:t>14</w:t>
            </w:r>
          </w:p>
        </w:tc>
        <w:tc>
          <w:tcPr>
            <w:tcW w:w="2022" w:type="pct"/>
          </w:tcPr>
          <w:p w14:paraId="1B13A1E2">
            <w:pPr>
              <w:spacing w:before="94" w:line="187" w:lineRule="auto"/>
              <w:ind w:left="1477"/>
              <w:rPr>
                <w:rFonts w:hint="eastAsia" w:ascii="宋体" w:hAnsi="宋体" w:eastAsia="宋体" w:cs="宋体"/>
                <w:sz w:val="18"/>
                <w:szCs w:val="18"/>
                <w:highlight w:val="none"/>
              </w:rPr>
            </w:pPr>
            <w:r>
              <w:rPr>
                <w:rFonts w:hint="eastAsia" w:ascii="宋体" w:hAnsi="宋体" w:eastAsia="宋体" w:cs="宋体"/>
                <w:color w:val="221F1F"/>
                <w:spacing w:val="-2"/>
                <w:sz w:val="18"/>
                <w:szCs w:val="18"/>
                <w:highlight w:val="none"/>
              </w:rPr>
              <w:t>8620</w:t>
            </w:r>
          </w:p>
        </w:tc>
      </w:tr>
      <w:tr w14:paraId="13024F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5000" w:type="pct"/>
            <w:gridSpan w:val="3"/>
          </w:tcPr>
          <w:p w14:paraId="7533FE7D">
            <w:pPr>
              <w:pStyle w:val="154"/>
              <w:spacing w:before="71" w:line="283" w:lineRule="auto"/>
              <w:ind w:left="113" w:right="207" w:firstLine="3"/>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注：部分GHG的GWP来源于IPCC《气候变化报告2021：自然科学基础第一工作组对</w:t>
            </w:r>
            <w:r>
              <w:rPr>
                <w:rFonts w:hint="eastAsia" w:ascii="宋体" w:hAnsi="宋体" w:eastAsia="宋体" w:cs="宋体"/>
                <w:spacing w:val="-1"/>
                <w:sz w:val="18"/>
                <w:szCs w:val="18"/>
                <w:highlight w:val="none"/>
                <w:lang w:eastAsia="zh-CN"/>
              </w:rPr>
              <w:t>IPCC第六次评估</w:t>
            </w:r>
            <w:bookmarkStart w:id="68" w:name="bookmark31"/>
            <w:bookmarkEnd w:id="68"/>
            <w:r>
              <w:rPr>
                <w:rFonts w:hint="eastAsia" w:ascii="宋体" w:hAnsi="宋体" w:eastAsia="宋体" w:cs="宋体"/>
                <w:spacing w:val="-1"/>
                <w:position w:val="-1"/>
                <w:sz w:val="18"/>
                <w:szCs w:val="18"/>
                <w:highlight w:val="none"/>
                <w:lang w:eastAsia="zh-CN"/>
              </w:rPr>
              <w:t>报告的贡献》</w:t>
            </w:r>
            <w:r>
              <w:rPr>
                <w:rFonts w:hint="eastAsia" w:cs="宋体"/>
                <w:spacing w:val="-1"/>
                <w:position w:val="-1"/>
                <w:sz w:val="18"/>
                <w:szCs w:val="18"/>
                <w:highlight w:val="none"/>
                <w:lang w:eastAsia="zh-CN"/>
              </w:rPr>
              <w:t>。</w:t>
            </w:r>
          </w:p>
        </w:tc>
      </w:tr>
    </w:tbl>
    <w:p w14:paraId="3904B39E">
      <w:pPr>
        <w:spacing w:line="276" w:lineRule="auto"/>
        <w:rPr>
          <w:szCs w:val="21"/>
          <w:highlight w:val="none"/>
        </w:rPr>
      </w:pPr>
    </w:p>
    <w:p w14:paraId="5CDBD97B">
      <w:pPr>
        <w:pStyle w:val="27"/>
        <w:spacing w:line="276" w:lineRule="auto"/>
        <w:rPr>
          <w:rFonts w:ascii="Times New Roman"/>
          <w:highlight w:val="none"/>
        </w:rPr>
      </w:pPr>
      <w:r>
        <w:rPr>
          <w:rFonts w:ascii="Times New Roman"/>
          <w:highlight w:val="none"/>
        </w:rPr>
        <w:br w:type="page"/>
      </w:r>
    </w:p>
    <w:p w14:paraId="3C105CCC">
      <w:pPr>
        <w:spacing w:line="276" w:lineRule="auto"/>
        <w:jc w:val="center"/>
        <w:outlineLvl w:val="0"/>
        <w:rPr>
          <w:rFonts w:hint="eastAsia" w:ascii="黑体" w:hAnsi="黑体" w:eastAsia="黑体" w:cs="黑体"/>
          <w:sz w:val="21"/>
          <w:szCs w:val="21"/>
          <w:highlight w:val="none"/>
          <w:lang w:val="en-US" w:eastAsia="zh-CN"/>
        </w:rPr>
      </w:pPr>
      <w:bookmarkStart w:id="69" w:name="_Toc19531"/>
      <w:r>
        <w:rPr>
          <w:rFonts w:hint="eastAsia" w:ascii="黑体" w:hAnsi="黑体" w:eastAsia="黑体" w:cs="黑体"/>
          <w:sz w:val="21"/>
          <w:szCs w:val="21"/>
          <w:highlight w:val="none"/>
          <w:lang w:val="en-US" w:eastAsia="zh-CN"/>
        </w:rPr>
        <w:t>附录E</w:t>
      </w:r>
      <w:bookmarkEnd w:id="69"/>
    </w:p>
    <w:p w14:paraId="22000904">
      <w:pPr>
        <w:spacing w:line="276" w:lineRule="auto"/>
        <w:jc w:val="center"/>
        <w:outlineLvl w:val="0"/>
        <w:rPr>
          <w:rFonts w:hint="eastAsia" w:ascii="黑体" w:hAnsi="黑体" w:eastAsia="黑体" w:cs="黑体"/>
          <w:sz w:val="21"/>
          <w:szCs w:val="21"/>
          <w:highlight w:val="none"/>
          <w:lang w:val="en-US" w:eastAsia="zh-CN"/>
        </w:rPr>
      </w:pPr>
      <w:bookmarkStart w:id="70" w:name="_Toc10493"/>
      <w:r>
        <w:rPr>
          <w:rFonts w:hint="eastAsia" w:ascii="黑体" w:hAnsi="黑体" w:eastAsia="黑体" w:cs="黑体"/>
          <w:sz w:val="21"/>
          <w:szCs w:val="21"/>
          <w:highlight w:val="none"/>
          <w:lang w:val="en-US" w:eastAsia="zh-CN"/>
        </w:rPr>
        <w:t>（资料性）</w:t>
      </w:r>
      <w:bookmarkEnd w:id="70"/>
    </w:p>
    <w:p w14:paraId="718EF726">
      <w:pPr>
        <w:spacing w:line="276" w:lineRule="auto"/>
        <w:jc w:val="center"/>
        <w:outlineLvl w:val="0"/>
        <w:rPr>
          <w:rFonts w:hint="eastAsia" w:ascii="黑体" w:hAnsi="黑体" w:eastAsia="黑体" w:cs="黑体"/>
          <w:sz w:val="21"/>
          <w:szCs w:val="21"/>
          <w:highlight w:val="none"/>
          <w:lang w:val="en-US" w:eastAsia="zh-CN"/>
        </w:rPr>
      </w:pPr>
      <w:bookmarkStart w:id="71" w:name="_Toc13816"/>
      <w:r>
        <w:rPr>
          <w:rFonts w:hint="eastAsia" w:ascii="黑体" w:hAnsi="黑体" w:eastAsia="黑体" w:cs="黑体"/>
          <w:sz w:val="21"/>
          <w:szCs w:val="21"/>
          <w:highlight w:val="none"/>
          <w:lang w:val="en-US" w:eastAsia="zh-CN"/>
        </w:rPr>
        <w:t>数据质量评价方法</w:t>
      </w:r>
      <w:bookmarkEnd w:id="71"/>
    </w:p>
    <w:p w14:paraId="79F520A3">
      <w:pPr>
        <w:keepNext w:val="0"/>
        <w:keepLines w:val="0"/>
        <w:pageBreakBefore w:val="0"/>
        <w:widowControl w:val="0"/>
        <w:kinsoku/>
        <w:wordWrap/>
        <w:overflowPunct/>
        <w:topLinePunct w:val="0"/>
        <w:autoSpaceDE/>
        <w:autoSpaceDN/>
        <w:bidi w:val="0"/>
        <w:adjustRightInd/>
        <w:snapToGrid/>
        <w:spacing w:line="276" w:lineRule="auto"/>
        <w:textAlignment w:val="auto"/>
        <w:rPr>
          <w:rFonts w:hint="eastAsia" w:ascii="宋体" w:hAnsi="宋体" w:eastAsia="宋体" w:cs="宋体"/>
          <w:szCs w:val="21"/>
          <w:highlight w:val="none"/>
        </w:rPr>
      </w:pPr>
      <w:r>
        <w:rPr>
          <w:rFonts w:hint="eastAsia" w:ascii="宋体" w:hAnsi="宋体" w:eastAsia="宋体" w:cs="宋体"/>
          <w:szCs w:val="21"/>
          <w:highlight w:val="none"/>
          <w:lang w:val="en-US" w:eastAsia="zh-CN"/>
        </w:rPr>
        <w:t>E.1 数据质量评价体系（见表E.1）包括数据来源可靠性、数据完整性、时间相关性、地理相关性与技术相关性5项评价指标。每项指标中用5分制来表征数据质量，其中1表示数据质量最好，5表示数据质量最差。</w:t>
      </w:r>
    </w:p>
    <w:p w14:paraId="1B5575C7">
      <w:pPr>
        <w:pStyle w:val="136"/>
        <w:spacing w:beforeLines="0" w:afterLines="0" w:line="276" w:lineRule="auto"/>
        <w:rPr>
          <w:rFonts w:hint="eastAsia" w:ascii="黑体" w:hAnsi="黑体" w:eastAsia="黑体" w:cs="黑体"/>
          <w:kern w:val="2"/>
          <w:szCs w:val="21"/>
          <w:highlight w:val="none"/>
        </w:rPr>
      </w:pPr>
      <w:r>
        <w:rPr>
          <w:rFonts w:hint="eastAsia" w:ascii="黑体" w:hAnsi="黑体" w:eastAsia="黑体" w:cs="黑体"/>
          <w:kern w:val="2"/>
          <w:szCs w:val="21"/>
          <w:highlight w:val="none"/>
        </w:rPr>
        <w:t>表</w:t>
      </w:r>
      <w:r>
        <w:rPr>
          <w:rFonts w:hint="eastAsia" w:ascii="黑体" w:hAnsi="黑体" w:eastAsia="黑体" w:cs="黑体"/>
          <w:kern w:val="2"/>
          <w:szCs w:val="21"/>
          <w:highlight w:val="none"/>
          <w:lang w:val="en-US" w:eastAsia="zh-CN"/>
        </w:rPr>
        <w:t>E</w:t>
      </w:r>
      <w:r>
        <w:rPr>
          <w:rFonts w:hint="eastAsia" w:ascii="黑体" w:hAnsi="黑体" w:eastAsia="黑体" w:cs="黑体"/>
          <w:kern w:val="2"/>
          <w:szCs w:val="21"/>
          <w:highlight w:val="none"/>
        </w:rPr>
        <w:t>.</w:t>
      </w:r>
      <w:r>
        <w:rPr>
          <w:rFonts w:hint="eastAsia" w:ascii="黑体" w:hAnsi="黑体" w:eastAsia="黑体" w:cs="黑体"/>
          <w:kern w:val="2"/>
          <w:szCs w:val="21"/>
          <w:highlight w:val="none"/>
          <w:lang w:val="en-US" w:eastAsia="zh-CN"/>
        </w:rPr>
        <w:t>1</w:t>
      </w:r>
      <w:r>
        <w:rPr>
          <w:rFonts w:hint="eastAsia" w:ascii="黑体" w:hAnsi="黑体" w:eastAsia="黑体" w:cs="黑体"/>
          <w:kern w:val="2"/>
          <w:szCs w:val="21"/>
          <w:highlight w:val="none"/>
        </w:rPr>
        <w:t xml:space="preserve">  数据质量评价体系表</w:t>
      </w:r>
    </w:p>
    <w:tbl>
      <w:tblPr>
        <w:tblStyle w:val="37"/>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06"/>
        <w:gridCol w:w="1770"/>
        <w:gridCol w:w="1770"/>
        <w:gridCol w:w="1770"/>
        <w:gridCol w:w="1770"/>
        <w:gridCol w:w="1781"/>
      </w:tblGrid>
      <w:tr w14:paraId="50097B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8" w:hRule="atLeast"/>
          <w:jc w:val="center"/>
        </w:trPr>
        <w:tc>
          <w:tcPr>
            <w:tcW w:w="555" w:type="pct"/>
            <w:vMerge w:val="restart"/>
            <w:vAlign w:val="center"/>
          </w:tcPr>
          <w:p w14:paraId="78ABA57A">
            <w:pPr>
              <w:spacing w:line="276" w:lineRule="auto"/>
              <w:jc w:val="center"/>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rPr>
              <w:t>数据质量</w:t>
            </w:r>
          </w:p>
          <w:p w14:paraId="40FBC139">
            <w:pPr>
              <w:spacing w:line="276" w:lineRule="auto"/>
              <w:jc w:val="center"/>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rPr>
              <w:t>评价指标</w:t>
            </w:r>
          </w:p>
        </w:tc>
        <w:tc>
          <w:tcPr>
            <w:tcW w:w="4445" w:type="pct"/>
            <w:gridSpan w:val="5"/>
            <w:vAlign w:val="center"/>
          </w:tcPr>
          <w:p w14:paraId="4C20CEA8">
            <w:pPr>
              <w:widowControl/>
              <w:jc w:val="center"/>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rPr>
              <w:t>分值</w:t>
            </w:r>
          </w:p>
        </w:tc>
      </w:tr>
      <w:tr w14:paraId="03DAF6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555" w:type="pct"/>
            <w:vMerge w:val="continue"/>
            <w:vAlign w:val="center"/>
          </w:tcPr>
          <w:p w14:paraId="0BA28A60">
            <w:pPr>
              <w:spacing w:line="276" w:lineRule="auto"/>
              <w:jc w:val="center"/>
              <w:rPr>
                <w:rFonts w:hint="eastAsia" w:ascii="宋体" w:hAnsi="宋体" w:eastAsia="宋体" w:cs="宋体"/>
                <w:kern w:val="0"/>
                <w:sz w:val="18"/>
                <w:szCs w:val="18"/>
                <w:highlight w:val="none"/>
              </w:rPr>
            </w:pPr>
          </w:p>
        </w:tc>
        <w:tc>
          <w:tcPr>
            <w:tcW w:w="888" w:type="pct"/>
            <w:vAlign w:val="center"/>
          </w:tcPr>
          <w:p w14:paraId="3FC89FFA">
            <w:pPr>
              <w:spacing w:line="276" w:lineRule="auto"/>
              <w:jc w:val="center"/>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rPr>
              <w:t>1</w:t>
            </w:r>
          </w:p>
        </w:tc>
        <w:tc>
          <w:tcPr>
            <w:tcW w:w="888" w:type="pct"/>
            <w:vAlign w:val="center"/>
          </w:tcPr>
          <w:p w14:paraId="4B2F6A3A">
            <w:pPr>
              <w:spacing w:line="276" w:lineRule="auto"/>
              <w:jc w:val="center"/>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rPr>
              <w:t>2</w:t>
            </w:r>
          </w:p>
        </w:tc>
        <w:tc>
          <w:tcPr>
            <w:tcW w:w="888" w:type="pct"/>
            <w:vAlign w:val="center"/>
          </w:tcPr>
          <w:p w14:paraId="167EA7E3">
            <w:pPr>
              <w:spacing w:line="276" w:lineRule="auto"/>
              <w:jc w:val="center"/>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rPr>
              <w:t>3</w:t>
            </w:r>
          </w:p>
        </w:tc>
        <w:tc>
          <w:tcPr>
            <w:tcW w:w="888" w:type="pct"/>
            <w:vAlign w:val="center"/>
          </w:tcPr>
          <w:p w14:paraId="34B5145F">
            <w:pPr>
              <w:spacing w:line="276" w:lineRule="auto"/>
              <w:jc w:val="center"/>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rPr>
              <w:t>4</w:t>
            </w:r>
          </w:p>
        </w:tc>
        <w:tc>
          <w:tcPr>
            <w:tcW w:w="893" w:type="pct"/>
            <w:vAlign w:val="center"/>
          </w:tcPr>
          <w:p w14:paraId="2964A26F">
            <w:pPr>
              <w:spacing w:line="276" w:lineRule="auto"/>
              <w:jc w:val="center"/>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rPr>
              <w:t>5</w:t>
            </w:r>
          </w:p>
        </w:tc>
      </w:tr>
      <w:tr w14:paraId="2917EC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55" w:type="pct"/>
            <w:vAlign w:val="center"/>
          </w:tcPr>
          <w:p w14:paraId="44A6B61E">
            <w:pPr>
              <w:spacing w:line="276" w:lineRule="auto"/>
              <w:jc w:val="center"/>
              <w:rPr>
                <w:rFonts w:hint="eastAsia" w:ascii="宋体" w:hAnsi="宋体" w:eastAsia="宋体" w:cs="宋体"/>
                <w:color w:val="0D0D0D"/>
                <w:kern w:val="2"/>
                <w:sz w:val="18"/>
                <w:szCs w:val="18"/>
                <w:highlight w:val="none"/>
              </w:rPr>
            </w:pPr>
            <w:r>
              <w:rPr>
                <w:rFonts w:hint="eastAsia" w:ascii="宋体" w:hAnsi="宋体" w:eastAsia="宋体" w:cs="宋体"/>
                <w:color w:val="0D0D0D"/>
                <w:kern w:val="2"/>
                <w:sz w:val="18"/>
                <w:szCs w:val="18"/>
                <w:highlight w:val="none"/>
              </w:rPr>
              <w:t>数据来源可靠性</w:t>
            </w:r>
          </w:p>
        </w:tc>
        <w:tc>
          <w:tcPr>
            <w:tcW w:w="888" w:type="pct"/>
            <w:vAlign w:val="center"/>
          </w:tcPr>
          <w:p w14:paraId="28EC117D">
            <w:pPr>
              <w:spacing w:line="276" w:lineRule="auto"/>
              <w:rPr>
                <w:rFonts w:hint="eastAsia" w:ascii="宋体" w:hAnsi="宋体" w:eastAsia="宋体" w:cs="宋体"/>
                <w:kern w:val="0"/>
                <w:sz w:val="18"/>
                <w:szCs w:val="18"/>
                <w:highlight w:val="none"/>
              </w:rPr>
            </w:pPr>
            <w:r>
              <w:rPr>
                <w:rFonts w:hint="eastAsia" w:ascii="宋体" w:hAnsi="宋体" w:eastAsia="宋体" w:cs="宋体"/>
                <w:color w:val="0D0D0D"/>
                <w:kern w:val="0"/>
                <w:sz w:val="18"/>
                <w:szCs w:val="18"/>
                <w:highlight w:val="none"/>
              </w:rPr>
              <w:t>基于现场调查或测量的原始数据，并被验证过其合理性</w:t>
            </w:r>
          </w:p>
        </w:tc>
        <w:tc>
          <w:tcPr>
            <w:tcW w:w="888" w:type="pct"/>
            <w:vAlign w:val="center"/>
          </w:tcPr>
          <w:p w14:paraId="38C95A31">
            <w:pPr>
              <w:spacing w:line="276" w:lineRule="auto"/>
              <w:rPr>
                <w:rFonts w:hint="eastAsia" w:ascii="宋体" w:hAnsi="宋体" w:eastAsia="宋体" w:cs="宋体"/>
                <w:kern w:val="0"/>
                <w:sz w:val="18"/>
                <w:szCs w:val="18"/>
                <w:highlight w:val="none"/>
              </w:rPr>
            </w:pPr>
            <w:r>
              <w:rPr>
                <w:rFonts w:hint="eastAsia" w:ascii="宋体" w:hAnsi="宋体" w:eastAsia="宋体" w:cs="宋体"/>
                <w:color w:val="0D0D0D"/>
                <w:kern w:val="0"/>
                <w:sz w:val="18"/>
                <w:szCs w:val="18"/>
                <w:highlight w:val="none"/>
              </w:rPr>
              <w:t>基于现场调查或测量的原始数据但未被验证过其合理性；或基于计算的数据，并被验证过其合理性</w:t>
            </w:r>
          </w:p>
        </w:tc>
        <w:tc>
          <w:tcPr>
            <w:tcW w:w="888" w:type="pct"/>
            <w:vAlign w:val="center"/>
          </w:tcPr>
          <w:p w14:paraId="5E9B1AD8">
            <w:pPr>
              <w:spacing w:line="276" w:lineRule="auto"/>
              <w:rPr>
                <w:rFonts w:hint="eastAsia" w:ascii="宋体" w:hAnsi="宋体" w:eastAsia="宋体" w:cs="宋体"/>
                <w:kern w:val="0"/>
                <w:sz w:val="18"/>
                <w:szCs w:val="18"/>
                <w:highlight w:val="none"/>
              </w:rPr>
            </w:pPr>
            <w:r>
              <w:rPr>
                <w:rFonts w:hint="eastAsia" w:ascii="宋体" w:hAnsi="宋体" w:eastAsia="宋体" w:cs="宋体"/>
                <w:color w:val="0D0D0D"/>
                <w:kern w:val="0"/>
                <w:sz w:val="18"/>
                <w:szCs w:val="18"/>
                <w:highlight w:val="none"/>
              </w:rPr>
              <w:t>基于计算的数据但未被验证过其合理性；或基于估算的数据，但被验证过其合理性</w:t>
            </w:r>
          </w:p>
        </w:tc>
        <w:tc>
          <w:tcPr>
            <w:tcW w:w="888" w:type="pct"/>
            <w:vAlign w:val="center"/>
          </w:tcPr>
          <w:p w14:paraId="28951842">
            <w:pPr>
              <w:spacing w:line="276" w:lineRule="auto"/>
              <w:rPr>
                <w:rFonts w:hint="eastAsia" w:ascii="宋体" w:hAnsi="宋体" w:eastAsia="宋体" w:cs="宋体"/>
                <w:kern w:val="0"/>
                <w:sz w:val="18"/>
                <w:szCs w:val="18"/>
                <w:highlight w:val="none"/>
              </w:rPr>
            </w:pPr>
            <w:r>
              <w:rPr>
                <w:rFonts w:hint="eastAsia" w:ascii="宋体" w:hAnsi="宋体" w:eastAsia="宋体" w:cs="宋体"/>
                <w:color w:val="0D0D0D"/>
                <w:kern w:val="0"/>
                <w:sz w:val="18"/>
                <w:szCs w:val="18"/>
                <w:highlight w:val="none"/>
              </w:rPr>
              <w:t>基于估算的数据，虽未被验证过其合理性，但由合适的人（如行业专家）完成并进行了文件记录</w:t>
            </w:r>
          </w:p>
        </w:tc>
        <w:tc>
          <w:tcPr>
            <w:tcW w:w="893" w:type="pct"/>
            <w:vAlign w:val="center"/>
          </w:tcPr>
          <w:p w14:paraId="342DF51C">
            <w:pPr>
              <w:spacing w:line="276" w:lineRule="auto"/>
              <w:rPr>
                <w:rFonts w:hint="eastAsia" w:ascii="宋体" w:hAnsi="宋体" w:eastAsia="宋体" w:cs="宋体"/>
                <w:kern w:val="0"/>
                <w:sz w:val="18"/>
                <w:szCs w:val="18"/>
                <w:highlight w:val="none"/>
              </w:rPr>
            </w:pPr>
            <w:r>
              <w:rPr>
                <w:rFonts w:hint="eastAsia" w:ascii="宋体" w:hAnsi="宋体" w:eastAsia="宋体" w:cs="宋体"/>
                <w:color w:val="0D0D0D"/>
                <w:kern w:val="0"/>
                <w:sz w:val="18"/>
                <w:szCs w:val="18"/>
                <w:highlight w:val="none"/>
              </w:rPr>
              <w:t>基于估算的数据，未被验证过其合理性且无文件记录</w:t>
            </w:r>
          </w:p>
        </w:tc>
      </w:tr>
      <w:tr w14:paraId="765503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55" w:type="pct"/>
            <w:vAlign w:val="center"/>
          </w:tcPr>
          <w:p w14:paraId="52BF6AEF">
            <w:pPr>
              <w:spacing w:line="276" w:lineRule="auto"/>
              <w:jc w:val="center"/>
              <w:rPr>
                <w:rFonts w:hint="eastAsia" w:ascii="宋体" w:hAnsi="宋体" w:eastAsia="宋体" w:cs="宋体"/>
                <w:color w:val="0D0D0D"/>
                <w:kern w:val="2"/>
                <w:sz w:val="18"/>
                <w:szCs w:val="18"/>
                <w:highlight w:val="none"/>
              </w:rPr>
            </w:pPr>
            <w:r>
              <w:rPr>
                <w:rFonts w:hint="eastAsia" w:ascii="宋体" w:hAnsi="宋体" w:eastAsia="宋体" w:cs="宋体"/>
                <w:color w:val="0D0D0D"/>
                <w:kern w:val="2"/>
                <w:sz w:val="18"/>
                <w:szCs w:val="18"/>
                <w:highlight w:val="none"/>
              </w:rPr>
              <w:t>完整性</w:t>
            </w:r>
          </w:p>
        </w:tc>
        <w:tc>
          <w:tcPr>
            <w:tcW w:w="888" w:type="pct"/>
            <w:vAlign w:val="center"/>
          </w:tcPr>
          <w:p w14:paraId="68D5D9BB">
            <w:pPr>
              <w:spacing w:line="276" w:lineRule="auto"/>
              <w:rPr>
                <w:rFonts w:hint="eastAsia" w:ascii="宋体" w:hAnsi="宋体" w:eastAsia="宋体" w:cs="宋体"/>
                <w:kern w:val="0"/>
                <w:sz w:val="18"/>
                <w:szCs w:val="18"/>
                <w:highlight w:val="none"/>
              </w:rPr>
            </w:pPr>
            <w:r>
              <w:rPr>
                <w:rFonts w:hint="eastAsia" w:ascii="宋体" w:hAnsi="宋体" w:eastAsia="宋体" w:cs="宋体"/>
                <w:color w:val="0D0D0D"/>
                <w:kern w:val="0"/>
                <w:sz w:val="18"/>
                <w:szCs w:val="18"/>
                <w:highlight w:val="none"/>
              </w:rPr>
              <w:t>所有的流都已被记录；整个过程包括了全部的过程数据，或者过程以非常详细的形式建模。若完全满足相关标准中所要求的取舍准则，也可被认为是非常好的完整性</w:t>
            </w:r>
          </w:p>
        </w:tc>
        <w:tc>
          <w:tcPr>
            <w:tcW w:w="888" w:type="pct"/>
            <w:vAlign w:val="center"/>
          </w:tcPr>
          <w:p w14:paraId="1EE682CD">
            <w:pPr>
              <w:spacing w:line="276" w:lineRule="auto"/>
              <w:rPr>
                <w:rFonts w:hint="eastAsia" w:ascii="宋体" w:hAnsi="宋体" w:eastAsia="宋体" w:cs="宋体"/>
                <w:kern w:val="0"/>
                <w:sz w:val="18"/>
                <w:szCs w:val="18"/>
                <w:highlight w:val="none"/>
              </w:rPr>
            </w:pPr>
            <w:r>
              <w:rPr>
                <w:rFonts w:hint="eastAsia" w:ascii="宋体" w:hAnsi="宋体" w:eastAsia="宋体" w:cs="宋体"/>
                <w:color w:val="0D0D0D"/>
                <w:kern w:val="0"/>
                <w:sz w:val="18"/>
                <w:szCs w:val="18"/>
                <w:highlight w:val="none"/>
              </w:rPr>
              <w:t>所有相关的流都已被记录；基本上满足相关标准中所要求的取舍准则</w:t>
            </w:r>
          </w:p>
        </w:tc>
        <w:tc>
          <w:tcPr>
            <w:tcW w:w="888" w:type="pct"/>
            <w:vAlign w:val="center"/>
          </w:tcPr>
          <w:p w14:paraId="0401C12E">
            <w:pPr>
              <w:spacing w:line="276" w:lineRule="auto"/>
              <w:rPr>
                <w:rFonts w:hint="eastAsia" w:ascii="宋体" w:hAnsi="宋体" w:eastAsia="宋体" w:cs="宋体"/>
                <w:kern w:val="0"/>
                <w:sz w:val="18"/>
                <w:szCs w:val="18"/>
                <w:highlight w:val="none"/>
              </w:rPr>
            </w:pPr>
            <w:r>
              <w:rPr>
                <w:rFonts w:hint="eastAsia" w:ascii="宋体" w:hAnsi="宋体" w:eastAsia="宋体" w:cs="宋体"/>
                <w:color w:val="0D0D0D"/>
                <w:kern w:val="0"/>
                <w:sz w:val="18"/>
                <w:szCs w:val="18"/>
                <w:highlight w:val="none"/>
              </w:rPr>
              <w:t>部分相关的流被记录</w:t>
            </w:r>
          </w:p>
        </w:tc>
        <w:tc>
          <w:tcPr>
            <w:tcW w:w="888" w:type="pct"/>
            <w:vAlign w:val="center"/>
          </w:tcPr>
          <w:p w14:paraId="6B1DE964">
            <w:pPr>
              <w:spacing w:line="276" w:lineRule="auto"/>
              <w:rPr>
                <w:rFonts w:hint="eastAsia" w:ascii="宋体" w:hAnsi="宋体" w:eastAsia="宋体" w:cs="宋体"/>
                <w:kern w:val="0"/>
                <w:sz w:val="18"/>
                <w:szCs w:val="18"/>
                <w:highlight w:val="none"/>
              </w:rPr>
            </w:pPr>
            <w:r>
              <w:rPr>
                <w:rFonts w:hint="eastAsia" w:ascii="宋体" w:hAnsi="宋体" w:eastAsia="宋体" w:cs="宋体"/>
                <w:color w:val="0D0D0D"/>
                <w:kern w:val="0"/>
                <w:sz w:val="18"/>
                <w:szCs w:val="18"/>
                <w:highlight w:val="none"/>
              </w:rPr>
              <w:t>很多相关的流都未被记录</w:t>
            </w:r>
          </w:p>
        </w:tc>
        <w:tc>
          <w:tcPr>
            <w:tcW w:w="893" w:type="pct"/>
            <w:vAlign w:val="center"/>
          </w:tcPr>
          <w:p w14:paraId="4D71CCCA">
            <w:pPr>
              <w:spacing w:line="276" w:lineRule="auto"/>
              <w:rPr>
                <w:rFonts w:hint="eastAsia" w:ascii="宋体" w:hAnsi="宋体" w:eastAsia="宋体" w:cs="宋体"/>
                <w:kern w:val="0"/>
                <w:sz w:val="18"/>
                <w:szCs w:val="18"/>
                <w:highlight w:val="none"/>
              </w:rPr>
            </w:pPr>
            <w:r>
              <w:rPr>
                <w:rFonts w:hint="eastAsia" w:ascii="宋体" w:hAnsi="宋体" w:eastAsia="宋体" w:cs="宋体"/>
                <w:color w:val="0D0D0D"/>
                <w:kern w:val="0"/>
                <w:sz w:val="18"/>
                <w:szCs w:val="18"/>
                <w:highlight w:val="none"/>
              </w:rPr>
              <w:t>没有关于完整性的文档记录</w:t>
            </w:r>
          </w:p>
        </w:tc>
      </w:tr>
      <w:tr w14:paraId="41DCBA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55" w:type="pct"/>
            <w:vAlign w:val="center"/>
          </w:tcPr>
          <w:p w14:paraId="3F1A7E29">
            <w:pPr>
              <w:spacing w:line="276" w:lineRule="auto"/>
              <w:jc w:val="center"/>
              <w:rPr>
                <w:rFonts w:hint="eastAsia" w:ascii="宋体" w:hAnsi="宋体" w:eastAsia="宋体" w:cs="宋体"/>
                <w:color w:val="0D0D0D"/>
                <w:kern w:val="2"/>
                <w:sz w:val="18"/>
                <w:szCs w:val="18"/>
                <w:highlight w:val="none"/>
              </w:rPr>
            </w:pPr>
            <w:r>
              <w:rPr>
                <w:rFonts w:hint="eastAsia" w:ascii="宋体" w:hAnsi="宋体" w:eastAsia="宋体" w:cs="宋体"/>
                <w:color w:val="0D0D0D"/>
                <w:kern w:val="2"/>
                <w:sz w:val="18"/>
                <w:szCs w:val="18"/>
                <w:highlight w:val="none"/>
              </w:rPr>
              <w:t>时间</w:t>
            </w:r>
          </w:p>
          <w:p w14:paraId="5A09761B">
            <w:pPr>
              <w:spacing w:line="276" w:lineRule="auto"/>
              <w:jc w:val="center"/>
              <w:rPr>
                <w:rFonts w:hint="eastAsia" w:ascii="宋体" w:hAnsi="宋体" w:eastAsia="宋体" w:cs="宋体"/>
                <w:color w:val="0D0D0D"/>
                <w:kern w:val="2"/>
                <w:sz w:val="18"/>
                <w:szCs w:val="18"/>
                <w:highlight w:val="none"/>
              </w:rPr>
            </w:pPr>
            <w:r>
              <w:rPr>
                <w:rFonts w:hint="eastAsia" w:ascii="宋体" w:hAnsi="宋体" w:eastAsia="宋体" w:cs="宋体"/>
                <w:color w:val="0D0D0D"/>
                <w:kern w:val="2"/>
                <w:sz w:val="18"/>
                <w:szCs w:val="18"/>
                <w:highlight w:val="none"/>
              </w:rPr>
              <w:t>相关性</w:t>
            </w:r>
          </w:p>
        </w:tc>
        <w:tc>
          <w:tcPr>
            <w:tcW w:w="888" w:type="pct"/>
            <w:vAlign w:val="center"/>
          </w:tcPr>
          <w:p w14:paraId="4423B7BA">
            <w:pPr>
              <w:spacing w:line="276" w:lineRule="auto"/>
              <w:rPr>
                <w:rFonts w:hint="eastAsia" w:ascii="宋体" w:hAnsi="宋体" w:eastAsia="宋体" w:cs="宋体"/>
                <w:color w:val="0D0D0D"/>
                <w:kern w:val="2"/>
                <w:sz w:val="18"/>
                <w:szCs w:val="18"/>
                <w:highlight w:val="none"/>
              </w:rPr>
            </w:pPr>
            <w:r>
              <w:rPr>
                <w:rFonts w:hint="eastAsia" w:ascii="宋体" w:hAnsi="宋体" w:eastAsia="宋体" w:cs="宋体"/>
                <w:color w:val="0D0D0D"/>
                <w:kern w:val="2"/>
                <w:sz w:val="18"/>
                <w:szCs w:val="18"/>
                <w:highlight w:val="none"/>
              </w:rPr>
              <w:t>≤1年</w:t>
            </w:r>
          </w:p>
        </w:tc>
        <w:tc>
          <w:tcPr>
            <w:tcW w:w="1770" w:type="dxa"/>
            <w:vAlign w:val="center"/>
          </w:tcPr>
          <w:p w14:paraId="6F631986">
            <w:pPr>
              <w:spacing w:line="276" w:lineRule="auto"/>
              <w:rPr>
                <w:rFonts w:hint="eastAsia" w:ascii="宋体" w:hAnsi="宋体" w:eastAsia="宋体" w:cs="宋体"/>
                <w:color w:val="0D0D0D"/>
                <w:kern w:val="2"/>
                <w:sz w:val="18"/>
                <w:szCs w:val="18"/>
                <w:highlight w:val="none"/>
              </w:rPr>
            </w:pPr>
            <w:r>
              <w:rPr>
                <w:rFonts w:hint="eastAsia" w:ascii="宋体" w:hAnsi="宋体" w:eastAsia="宋体" w:cs="宋体"/>
                <w:color w:val="0D0D0D"/>
                <w:kern w:val="2"/>
                <w:sz w:val="18"/>
                <w:szCs w:val="18"/>
                <w:highlight w:val="none"/>
              </w:rPr>
              <w:t>＞1年</w:t>
            </w:r>
            <w:r>
              <w:rPr>
                <w:rFonts w:hint="eastAsia" w:ascii="宋体" w:hAnsi="宋体" w:eastAsia="宋体" w:cs="宋体"/>
                <w:color w:val="0D0D0D"/>
                <w:kern w:val="2"/>
                <w:sz w:val="18"/>
                <w:szCs w:val="18"/>
                <w:highlight w:val="none"/>
                <w:lang w:val="en-US" w:eastAsia="zh-CN"/>
              </w:rPr>
              <w:t>～</w:t>
            </w:r>
            <w:r>
              <w:rPr>
                <w:rFonts w:hint="eastAsia" w:ascii="宋体" w:hAnsi="宋体" w:eastAsia="宋体" w:cs="宋体"/>
                <w:color w:val="0D0D0D"/>
                <w:kern w:val="2"/>
                <w:sz w:val="18"/>
                <w:szCs w:val="18"/>
                <w:highlight w:val="none"/>
              </w:rPr>
              <w:t>5年</w:t>
            </w:r>
          </w:p>
        </w:tc>
        <w:tc>
          <w:tcPr>
            <w:tcW w:w="1770" w:type="dxa"/>
            <w:vAlign w:val="center"/>
          </w:tcPr>
          <w:p w14:paraId="01C13523">
            <w:pPr>
              <w:spacing w:line="276" w:lineRule="auto"/>
              <w:rPr>
                <w:rFonts w:hint="eastAsia" w:ascii="宋体" w:hAnsi="宋体" w:eastAsia="宋体" w:cs="宋体"/>
                <w:color w:val="0D0D0D"/>
                <w:kern w:val="2"/>
                <w:sz w:val="18"/>
                <w:szCs w:val="18"/>
                <w:highlight w:val="none"/>
              </w:rPr>
            </w:pPr>
            <w:r>
              <w:rPr>
                <w:rFonts w:hint="eastAsia" w:ascii="宋体" w:hAnsi="宋体" w:eastAsia="宋体" w:cs="宋体"/>
                <w:color w:val="0D0D0D"/>
                <w:kern w:val="2"/>
                <w:sz w:val="18"/>
                <w:szCs w:val="18"/>
                <w:highlight w:val="none"/>
              </w:rPr>
              <w:t>＞5年</w:t>
            </w:r>
            <w:r>
              <w:rPr>
                <w:rFonts w:hint="eastAsia" w:ascii="宋体" w:hAnsi="宋体" w:eastAsia="宋体" w:cs="宋体"/>
                <w:color w:val="0D0D0D"/>
                <w:kern w:val="2"/>
                <w:sz w:val="18"/>
                <w:szCs w:val="18"/>
                <w:highlight w:val="none"/>
                <w:lang w:val="en-US" w:eastAsia="zh-CN"/>
              </w:rPr>
              <w:t>～</w:t>
            </w:r>
            <w:r>
              <w:rPr>
                <w:rFonts w:hint="eastAsia" w:ascii="宋体" w:hAnsi="宋体" w:eastAsia="宋体" w:cs="宋体"/>
                <w:color w:val="0D0D0D"/>
                <w:kern w:val="2"/>
                <w:sz w:val="18"/>
                <w:szCs w:val="18"/>
                <w:highlight w:val="none"/>
              </w:rPr>
              <w:t>10年</w:t>
            </w:r>
          </w:p>
        </w:tc>
        <w:tc>
          <w:tcPr>
            <w:tcW w:w="1770" w:type="dxa"/>
            <w:vAlign w:val="center"/>
          </w:tcPr>
          <w:p w14:paraId="54E9DAFB">
            <w:pPr>
              <w:spacing w:line="276" w:lineRule="auto"/>
              <w:rPr>
                <w:rFonts w:hint="eastAsia" w:ascii="宋体" w:hAnsi="宋体" w:eastAsia="宋体" w:cs="宋体"/>
                <w:color w:val="0D0D0D"/>
                <w:kern w:val="2"/>
                <w:sz w:val="18"/>
                <w:szCs w:val="18"/>
                <w:highlight w:val="none"/>
              </w:rPr>
            </w:pPr>
            <w:r>
              <w:rPr>
                <w:rFonts w:hint="eastAsia" w:ascii="宋体" w:hAnsi="宋体" w:eastAsia="宋体" w:cs="宋体"/>
                <w:color w:val="0D0D0D"/>
                <w:kern w:val="2"/>
                <w:sz w:val="18"/>
                <w:szCs w:val="18"/>
                <w:highlight w:val="none"/>
              </w:rPr>
              <w:t>＞10年</w:t>
            </w:r>
            <w:r>
              <w:rPr>
                <w:rFonts w:hint="eastAsia" w:ascii="宋体" w:hAnsi="宋体" w:eastAsia="宋体" w:cs="宋体"/>
                <w:color w:val="0D0D0D"/>
                <w:kern w:val="2"/>
                <w:sz w:val="18"/>
                <w:szCs w:val="18"/>
                <w:highlight w:val="none"/>
                <w:lang w:val="en-US" w:eastAsia="zh-CN"/>
              </w:rPr>
              <w:t>～</w:t>
            </w:r>
            <w:r>
              <w:rPr>
                <w:rFonts w:hint="eastAsia" w:ascii="宋体" w:hAnsi="宋体" w:eastAsia="宋体" w:cs="宋体"/>
                <w:color w:val="0D0D0D"/>
                <w:kern w:val="2"/>
                <w:sz w:val="18"/>
                <w:szCs w:val="18"/>
                <w:highlight w:val="none"/>
              </w:rPr>
              <w:t>15年</w:t>
            </w:r>
          </w:p>
        </w:tc>
        <w:tc>
          <w:tcPr>
            <w:tcW w:w="1781" w:type="dxa"/>
            <w:vAlign w:val="center"/>
          </w:tcPr>
          <w:p w14:paraId="1A2FEC33">
            <w:pPr>
              <w:spacing w:line="276" w:lineRule="auto"/>
              <w:rPr>
                <w:rFonts w:hint="eastAsia" w:ascii="宋体" w:hAnsi="宋体" w:eastAsia="宋体" w:cs="宋体"/>
                <w:color w:val="0D0D0D"/>
                <w:kern w:val="2"/>
                <w:sz w:val="18"/>
                <w:szCs w:val="18"/>
                <w:highlight w:val="none"/>
              </w:rPr>
            </w:pPr>
            <w:r>
              <w:rPr>
                <w:rFonts w:hint="eastAsia" w:ascii="宋体" w:hAnsi="宋体" w:eastAsia="宋体" w:cs="宋体"/>
                <w:color w:val="0D0D0D"/>
                <w:kern w:val="2"/>
                <w:sz w:val="18"/>
                <w:szCs w:val="18"/>
                <w:highlight w:val="none"/>
              </w:rPr>
              <w:t>＞15年或未知</w:t>
            </w:r>
          </w:p>
        </w:tc>
      </w:tr>
      <w:tr w14:paraId="6F3A81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55" w:type="pct"/>
            <w:vAlign w:val="center"/>
          </w:tcPr>
          <w:p w14:paraId="130260C7">
            <w:pPr>
              <w:spacing w:line="276" w:lineRule="auto"/>
              <w:jc w:val="center"/>
              <w:rPr>
                <w:rFonts w:hint="eastAsia" w:ascii="宋体" w:hAnsi="宋体" w:eastAsia="宋体" w:cs="宋体"/>
                <w:color w:val="0D0D0D"/>
                <w:kern w:val="2"/>
                <w:sz w:val="18"/>
                <w:szCs w:val="18"/>
                <w:highlight w:val="none"/>
              </w:rPr>
            </w:pPr>
            <w:r>
              <w:rPr>
                <w:rFonts w:hint="eastAsia" w:ascii="宋体" w:hAnsi="宋体" w:eastAsia="宋体" w:cs="宋体"/>
                <w:color w:val="0D0D0D"/>
                <w:kern w:val="2"/>
                <w:sz w:val="18"/>
                <w:szCs w:val="18"/>
                <w:highlight w:val="none"/>
              </w:rPr>
              <w:t>地理</w:t>
            </w:r>
          </w:p>
          <w:p w14:paraId="5C357E79">
            <w:pPr>
              <w:spacing w:line="276" w:lineRule="auto"/>
              <w:jc w:val="center"/>
              <w:rPr>
                <w:rFonts w:hint="eastAsia" w:ascii="宋体" w:hAnsi="宋体" w:eastAsia="宋体" w:cs="宋体"/>
                <w:color w:val="0D0D0D"/>
                <w:kern w:val="2"/>
                <w:sz w:val="18"/>
                <w:szCs w:val="18"/>
                <w:highlight w:val="none"/>
              </w:rPr>
            </w:pPr>
            <w:r>
              <w:rPr>
                <w:rFonts w:hint="eastAsia" w:ascii="宋体" w:hAnsi="宋体" w:eastAsia="宋体" w:cs="宋体"/>
                <w:color w:val="0D0D0D"/>
                <w:kern w:val="2"/>
                <w:sz w:val="18"/>
                <w:szCs w:val="18"/>
                <w:highlight w:val="none"/>
              </w:rPr>
              <w:t>相关性</w:t>
            </w:r>
          </w:p>
        </w:tc>
        <w:tc>
          <w:tcPr>
            <w:tcW w:w="888" w:type="pct"/>
            <w:vAlign w:val="center"/>
          </w:tcPr>
          <w:p w14:paraId="6CF1D35D">
            <w:pPr>
              <w:spacing w:line="276" w:lineRule="auto"/>
              <w:rPr>
                <w:rFonts w:hint="eastAsia" w:ascii="宋体" w:hAnsi="宋体" w:eastAsia="宋体" w:cs="宋体"/>
                <w:color w:val="0D0D0D"/>
                <w:kern w:val="2"/>
                <w:sz w:val="18"/>
                <w:szCs w:val="18"/>
                <w:highlight w:val="none"/>
              </w:rPr>
            </w:pPr>
            <w:r>
              <w:rPr>
                <w:rFonts w:hint="eastAsia" w:ascii="宋体" w:hAnsi="宋体" w:eastAsia="宋体" w:cs="宋体"/>
                <w:color w:val="0D0D0D"/>
                <w:kern w:val="2"/>
                <w:sz w:val="18"/>
                <w:szCs w:val="18"/>
                <w:highlight w:val="none"/>
              </w:rPr>
              <w:t>本区域数据</w:t>
            </w:r>
          </w:p>
        </w:tc>
        <w:tc>
          <w:tcPr>
            <w:tcW w:w="888" w:type="pct"/>
            <w:vAlign w:val="center"/>
          </w:tcPr>
          <w:p w14:paraId="4CAA159A">
            <w:pPr>
              <w:spacing w:line="276" w:lineRule="auto"/>
              <w:rPr>
                <w:rFonts w:hint="eastAsia" w:ascii="宋体" w:hAnsi="宋体" w:eastAsia="宋体" w:cs="宋体"/>
                <w:color w:val="0D0D0D"/>
                <w:kern w:val="2"/>
                <w:sz w:val="18"/>
                <w:szCs w:val="18"/>
                <w:highlight w:val="none"/>
              </w:rPr>
            </w:pPr>
            <w:r>
              <w:rPr>
                <w:rFonts w:hint="eastAsia" w:ascii="宋体" w:hAnsi="宋体" w:eastAsia="宋体" w:cs="宋体"/>
                <w:color w:val="0D0D0D"/>
                <w:kern w:val="2"/>
                <w:sz w:val="18"/>
                <w:szCs w:val="18"/>
                <w:highlight w:val="none"/>
              </w:rPr>
              <w:t>包含本区域的较大区域范围平均数据</w:t>
            </w:r>
          </w:p>
        </w:tc>
        <w:tc>
          <w:tcPr>
            <w:tcW w:w="888" w:type="pct"/>
            <w:vAlign w:val="center"/>
          </w:tcPr>
          <w:p w14:paraId="059B031C">
            <w:pPr>
              <w:spacing w:line="276" w:lineRule="auto"/>
              <w:rPr>
                <w:rFonts w:hint="eastAsia" w:ascii="宋体" w:hAnsi="宋体" w:eastAsia="宋体" w:cs="宋体"/>
                <w:color w:val="0D0D0D"/>
                <w:kern w:val="2"/>
                <w:sz w:val="18"/>
                <w:szCs w:val="18"/>
                <w:highlight w:val="none"/>
              </w:rPr>
            </w:pPr>
            <w:r>
              <w:rPr>
                <w:rFonts w:hint="eastAsia" w:ascii="宋体" w:hAnsi="宋体" w:eastAsia="宋体" w:cs="宋体"/>
                <w:color w:val="0D0D0D"/>
                <w:kern w:val="2"/>
                <w:sz w:val="18"/>
                <w:szCs w:val="18"/>
                <w:highlight w:val="none"/>
              </w:rPr>
              <w:t>类似生产条件的区域数据</w:t>
            </w:r>
          </w:p>
        </w:tc>
        <w:tc>
          <w:tcPr>
            <w:tcW w:w="888" w:type="pct"/>
            <w:vAlign w:val="center"/>
          </w:tcPr>
          <w:p w14:paraId="1ADE98AA">
            <w:pPr>
              <w:spacing w:line="276" w:lineRule="auto"/>
              <w:rPr>
                <w:rFonts w:hint="eastAsia" w:ascii="宋体" w:hAnsi="宋体" w:eastAsia="宋体" w:cs="宋体"/>
                <w:color w:val="0D0D0D"/>
                <w:kern w:val="2"/>
                <w:sz w:val="18"/>
                <w:szCs w:val="18"/>
                <w:highlight w:val="none"/>
              </w:rPr>
            </w:pPr>
            <w:r>
              <w:rPr>
                <w:rFonts w:hint="eastAsia" w:ascii="宋体" w:hAnsi="宋体" w:eastAsia="宋体" w:cs="宋体"/>
                <w:color w:val="0D0D0D"/>
                <w:kern w:val="2"/>
                <w:sz w:val="18"/>
                <w:szCs w:val="18"/>
                <w:highlight w:val="none"/>
              </w:rPr>
              <w:t>稍微类似生产条件的区域数据</w:t>
            </w:r>
          </w:p>
        </w:tc>
        <w:tc>
          <w:tcPr>
            <w:tcW w:w="893" w:type="pct"/>
            <w:vAlign w:val="center"/>
          </w:tcPr>
          <w:p w14:paraId="7CA9670A">
            <w:pPr>
              <w:spacing w:line="276" w:lineRule="auto"/>
              <w:rPr>
                <w:rFonts w:hint="eastAsia" w:ascii="宋体" w:hAnsi="宋体" w:eastAsia="宋体" w:cs="宋体"/>
                <w:color w:val="0D0D0D"/>
                <w:kern w:val="2"/>
                <w:sz w:val="18"/>
                <w:szCs w:val="18"/>
                <w:highlight w:val="none"/>
              </w:rPr>
            </w:pPr>
            <w:r>
              <w:rPr>
                <w:rFonts w:hint="eastAsia" w:ascii="宋体" w:hAnsi="宋体" w:eastAsia="宋体" w:cs="宋体"/>
                <w:color w:val="0D0D0D"/>
                <w:kern w:val="2"/>
                <w:sz w:val="18"/>
                <w:szCs w:val="18"/>
                <w:highlight w:val="none"/>
              </w:rPr>
              <w:t>未知或生产条件完全不同的区域数据</w:t>
            </w:r>
          </w:p>
        </w:tc>
      </w:tr>
      <w:tr w14:paraId="5216F4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55" w:type="pct"/>
            <w:vAlign w:val="center"/>
          </w:tcPr>
          <w:p w14:paraId="7C502C8B">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eastAsia" w:ascii="宋体" w:hAnsi="宋体" w:eastAsia="宋体" w:cs="宋体"/>
                <w:color w:val="0D0D0D"/>
                <w:kern w:val="2"/>
                <w:sz w:val="18"/>
                <w:szCs w:val="18"/>
                <w:highlight w:val="none"/>
              </w:rPr>
            </w:pPr>
            <w:r>
              <w:rPr>
                <w:rFonts w:hint="eastAsia" w:ascii="宋体" w:hAnsi="宋体" w:eastAsia="宋体" w:cs="宋体"/>
                <w:color w:val="0D0D0D"/>
                <w:kern w:val="2"/>
                <w:sz w:val="18"/>
                <w:szCs w:val="18"/>
                <w:highlight w:val="none"/>
              </w:rPr>
              <w:t>技术</w:t>
            </w:r>
          </w:p>
          <w:p w14:paraId="27B3A5FF">
            <w:pPr>
              <w:spacing w:line="276" w:lineRule="auto"/>
              <w:jc w:val="center"/>
              <w:rPr>
                <w:rFonts w:hint="eastAsia" w:ascii="宋体" w:hAnsi="宋体" w:eastAsia="宋体" w:cs="宋体"/>
                <w:color w:val="0D0D0D"/>
                <w:kern w:val="2"/>
                <w:sz w:val="18"/>
                <w:szCs w:val="18"/>
                <w:highlight w:val="none"/>
              </w:rPr>
            </w:pPr>
            <w:r>
              <w:rPr>
                <w:rFonts w:hint="eastAsia" w:ascii="宋体" w:hAnsi="宋体" w:eastAsia="宋体" w:cs="宋体"/>
                <w:color w:val="0D0D0D"/>
                <w:kern w:val="2"/>
                <w:sz w:val="18"/>
                <w:szCs w:val="18"/>
                <w:highlight w:val="none"/>
              </w:rPr>
              <w:t>相关性</w:t>
            </w:r>
          </w:p>
        </w:tc>
        <w:tc>
          <w:tcPr>
            <w:tcW w:w="888" w:type="pct"/>
            <w:vAlign w:val="center"/>
          </w:tcPr>
          <w:p w14:paraId="51774330">
            <w:pPr>
              <w:spacing w:line="276" w:lineRule="auto"/>
              <w:rPr>
                <w:rFonts w:hint="eastAsia" w:ascii="宋体" w:hAnsi="宋体" w:eastAsia="宋体" w:cs="宋体"/>
                <w:color w:val="0D0D0D"/>
                <w:kern w:val="2"/>
                <w:sz w:val="18"/>
                <w:szCs w:val="18"/>
                <w:highlight w:val="none"/>
              </w:rPr>
            </w:pPr>
            <w:r>
              <w:rPr>
                <w:rFonts w:hint="eastAsia" w:ascii="宋体" w:hAnsi="宋体" w:eastAsia="宋体" w:cs="宋体"/>
                <w:color w:val="0D0D0D"/>
                <w:kern w:val="2"/>
                <w:sz w:val="18"/>
                <w:szCs w:val="18"/>
                <w:highlight w:val="none"/>
              </w:rPr>
              <w:t>从生产链直接获得的数据</w:t>
            </w:r>
          </w:p>
        </w:tc>
        <w:tc>
          <w:tcPr>
            <w:tcW w:w="888" w:type="pct"/>
            <w:vAlign w:val="center"/>
          </w:tcPr>
          <w:p w14:paraId="4896F547">
            <w:pPr>
              <w:spacing w:line="276" w:lineRule="auto"/>
              <w:rPr>
                <w:rFonts w:hint="eastAsia" w:ascii="宋体" w:hAnsi="宋体" w:eastAsia="宋体" w:cs="宋体"/>
                <w:color w:val="0D0D0D"/>
                <w:kern w:val="2"/>
                <w:sz w:val="18"/>
                <w:szCs w:val="18"/>
                <w:highlight w:val="none"/>
              </w:rPr>
            </w:pPr>
            <w:r>
              <w:rPr>
                <w:rFonts w:hint="eastAsia" w:ascii="宋体" w:hAnsi="宋体" w:eastAsia="宋体" w:cs="宋体"/>
                <w:color w:val="0D0D0D"/>
                <w:kern w:val="2"/>
                <w:sz w:val="18"/>
                <w:szCs w:val="18"/>
                <w:highlight w:val="none"/>
              </w:rPr>
              <w:t>代表相同工艺、相同技术水平的数据</w:t>
            </w:r>
          </w:p>
        </w:tc>
        <w:tc>
          <w:tcPr>
            <w:tcW w:w="888" w:type="pct"/>
            <w:vAlign w:val="center"/>
          </w:tcPr>
          <w:p w14:paraId="644B9A7F">
            <w:pPr>
              <w:spacing w:line="276" w:lineRule="auto"/>
              <w:rPr>
                <w:rFonts w:hint="eastAsia" w:ascii="宋体" w:hAnsi="宋体" w:eastAsia="宋体" w:cs="宋体"/>
                <w:color w:val="0D0D0D"/>
                <w:kern w:val="2"/>
                <w:sz w:val="18"/>
                <w:szCs w:val="18"/>
                <w:highlight w:val="none"/>
              </w:rPr>
            </w:pPr>
            <w:r>
              <w:rPr>
                <w:rFonts w:hint="eastAsia" w:ascii="宋体" w:hAnsi="宋体" w:eastAsia="宋体" w:cs="宋体"/>
                <w:color w:val="0D0D0D"/>
                <w:kern w:val="2"/>
                <w:sz w:val="18"/>
                <w:szCs w:val="18"/>
                <w:highlight w:val="none"/>
              </w:rPr>
              <w:t>代表相同工艺，相近技术水平的数据</w:t>
            </w:r>
          </w:p>
        </w:tc>
        <w:tc>
          <w:tcPr>
            <w:tcW w:w="888" w:type="pct"/>
            <w:vAlign w:val="center"/>
          </w:tcPr>
          <w:p w14:paraId="3208615D">
            <w:pPr>
              <w:spacing w:line="276" w:lineRule="auto"/>
              <w:rPr>
                <w:rFonts w:hint="eastAsia" w:ascii="宋体" w:hAnsi="宋体" w:eastAsia="宋体" w:cs="宋体"/>
                <w:color w:val="0D0D0D"/>
                <w:kern w:val="2"/>
                <w:sz w:val="18"/>
                <w:szCs w:val="18"/>
                <w:highlight w:val="none"/>
              </w:rPr>
            </w:pPr>
            <w:r>
              <w:rPr>
                <w:rFonts w:hint="eastAsia" w:ascii="宋体" w:hAnsi="宋体" w:eastAsia="宋体" w:cs="宋体"/>
                <w:color w:val="0D0D0D"/>
                <w:kern w:val="2"/>
                <w:sz w:val="18"/>
                <w:szCs w:val="18"/>
                <w:highlight w:val="none"/>
              </w:rPr>
              <w:t>代表相同工艺、技术水平差距较大的数据</w:t>
            </w:r>
          </w:p>
        </w:tc>
        <w:tc>
          <w:tcPr>
            <w:tcW w:w="893" w:type="pct"/>
            <w:vAlign w:val="center"/>
          </w:tcPr>
          <w:p w14:paraId="6FD4B26A">
            <w:pPr>
              <w:spacing w:line="276" w:lineRule="auto"/>
              <w:rPr>
                <w:rFonts w:hint="eastAsia" w:ascii="宋体" w:hAnsi="宋体" w:eastAsia="宋体" w:cs="宋体"/>
                <w:color w:val="0D0D0D"/>
                <w:kern w:val="2"/>
                <w:sz w:val="18"/>
                <w:szCs w:val="18"/>
                <w:highlight w:val="none"/>
              </w:rPr>
            </w:pPr>
            <w:r>
              <w:rPr>
                <w:rFonts w:hint="eastAsia" w:ascii="宋体" w:hAnsi="宋体" w:eastAsia="宋体" w:cs="宋体"/>
                <w:color w:val="0D0D0D"/>
                <w:kern w:val="2"/>
                <w:sz w:val="18"/>
                <w:szCs w:val="18"/>
                <w:highlight w:val="none"/>
              </w:rPr>
              <w:t>未知或不同工艺的数据</w:t>
            </w:r>
          </w:p>
        </w:tc>
      </w:tr>
    </w:tbl>
    <w:p w14:paraId="5A31D3C8">
      <w:pPr>
        <w:pStyle w:val="27"/>
        <w:ind w:left="0" w:leftChars="0" w:firstLine="0" w:firstLineChars="0"/>
        <w:rPr>
          <w:rFonts w:hint="eastAsia" w:hAnsi="Cambria Math"/>
          <w:iCs/>
          <w:highlight w:val="none"/>
          <w:lang w:val="en-US" w:eastAsia="zh-CN"/>
        </w:rPr>
      </w:pPr>
      <w:r>
        <w:rPr>
          <w:rFonts w:hint="eastAsia" w:ascii="Times New Roman" w:cs="Times New Roman"/>
          <w:iCs/>
          <w:highlight w:val="none"/>
          <w:lang w:val="en-US" w:eastAsia="zh-CN"/>
        </w:rPr>
        <w:t>E</w:t>
      </w:r>
      <w:r>
        <w:rPr>
          <w:rFonts w:hint="default" w:ascii="Times New Roman" w:hAnsi="Times New Roman" w:cs="Times New Roman"/>
          <w:iCs/>
          <w:highlight w:val="none"/>
          <w:lang w:val="en-US" w:eastAsia="zh-CN"/>
        </w:rPr>
        <w:t xml:space="preserve">.2 </w:t>
      </w:r>
      <w:r>
        <w:rPr>
          <w:rFonts w:hint="default" w:ascii="Times New Roman" w:hAnsi="Times New Roman" w:cs="Times New Roman"/>
          <w:iCs/>
          <w:highlight w:val="none"/>
        </w:rPr>
        <w:t>通过综合每项数据质量指标来表征输入输</w:t>
      </w:r>
      <w:r>
        <w:rPr>
          <w:rFonts w:hint="eastAsia" w:hAnsi="Cambria Math"/>
          <w:iCs/>
          <w:highlight w:val="none"/>
        </w:rPr>
        <w:t>出数据的数据质量</w:t>
      </w:r>
      <w:r>
        <w:rPr>
          <w:rFonts w:hint="eastAsia" w:hAnsi="Cambria Math"/>
          <w:iCs/>
          <w:highlight w:val="none"/>
          <w:lang w:val="en-US" w:eastAsia="zh-CN"/>
        </w:rPr>
        <w:t>评价系数</w:t>
      </w:r>
      <w:r>
        <w:rPr>
          <w:rFonts w:hint="eastAsia" w:hAnsi="Cambria Math"/>
          <w:iCs/>
          <w:highlight w:val="none"/>
        </w:rPr>
        <w:t>，数据质量</w:t>
      </w:r>
      <w:r>
        <w:rPr>
          <w:rFonts w:hint="eastAsia" w:hAnsi="Cambria Math"/>
          <w:iCs/>
          <w:highlight w:val="none"/>
          <w:lang w:val="en-US" w:eastAsia="zh-CN"/>
        </w:rPr>
        <w:t>评价系数</w:t>
      </w:r>
      <w:r>
        <w:rPr>
          <w:rFonts w:hint="eastAsia" w:hAnsi="Cambria Math"/>
          <w:iCs/>
          <w:highlight w:val="none"/>
        </w:rPr>
        <w:t>按</w:t>
      </w:r>
      <w:r>
        <w:rPr>
          <w:rFonts w:hint="eastAsia" w:hAnsi="Cambria Math"/>
          <w:iCs/>
          <w:highlight w:val="none"/>
          <w:lang w:val="en-US" w:eastAsia="zh-CN"/>
        </w:rPr>
        <w:t>公</w:t>
      </w:r>
      <w:r>
        <w:rPr>
          <w:rFonts w:hint="eastAsia" w:hAnsi="Cambria Math"/>
          <w:iCs/>
          <w:highlight w:val="none"/>
        </w:rPr>
        <w:t>式</w:t>
      </w:r>
      <w:r>
        <w:rPr>
          <w:rFonts w:hint="eastAsia" w:asciiTheme="minorEastAsia" w:hAnsiTheme="minorEastAsia" w:eastAsiaTheme="minorEastAsia"/>
          <w:iCs/>
          <w:highlight w:val="none"/>
        </w:rPr>
        <w:t>（</w:t>
      </w:r>
      <w:r>
        <w:rPr>
          <w:rFonts w:hint="eastAsia" w:hAnsi="Cambria Math" w:eastAsiaTheme="minorEastAsia"/>
          <w:iCs/>
          <w:highlight w:val="none"/>
          <w:lang w:val="en-US" w:eastAsia="zh-CN"/>
        </w:rPr>
        <w:t>E</w:t>
      </w:r>
      <w:r>
        <w:rPr>
          <w:rFonts w:hAnsi="Cambria Math"/>
          <w:iCs/>
          <w:highlight w:val="none"/>
        </w:rPr>
        <w:t>.1</w:t>
      </w:r>
      <w:r>
        <w:rPr>
          <w:rFonts w:hint="eastAsia" w:asciiTheme="minorEastAsia" w:hAnsiTheme="minorEastAsia" w:eastAsiaTheme="minorEastAsia"/>
          <w:iCs/>
          <w:highlight w:val="none"/>
        </w:rPr>
        <w:t>）</w:t>
      </w:r>
      <w:r>
        <w:rPr>
          <w:rFonts w:hint="eastAsia" w:hAnsi="Cambria Math"/>
          <w:iCs/>
          <w:highlight w:val="none"/>
        </w:rPr>
        <w:t>计算</w:t>
      </w:r>
      <w:r>
        <w:rPr>
          <w:rFonts w:hint="eastAsia" w:hAnsi="Cambria Math"/>
          <w:iCs/>
          <w:highlight w:val="none"/>
          <w:lang w:val="en-US" w:eastAsia="zh-CN"/>
        </w:rPr>
        <w:t>：</w:t>
      </w:r>
    </w:p>
    <w:p w14:paraId="0EA20215">
      <w:pPr>
        <w:pStyle w:val="152"/>
        <w:numPr>
          <w:ilvl w:val="0"/>
          <w:numId w:val="0"/>
        </w:numPr>
        <w:spacing w:line="276" w:lineRule="auto"/>
        <w:ind w:left="840" w:hanging="420" w:firstLineChars="0"/>
        <w:jc w:val="right"/>
        <w:rPr>
          <w:rFonts w:hint="eastAsia" w:hAnsi="Cambria Math"/>
          <w:i w:val="0"/>
          <w:iCs/>
          <w:highlight w:val="none"/>
          <w:lang w:val="en-US" w:eastAsia="zh-CN"/>
        </w:rPr>
      </w:pPr>
      <w:r>
        <w:rPr>
          <w:rFonts w:hint="default" w:ascii="Times New Roman" w:hAnsi="Times New Roman" w:cs="Times New Roman"/>
          <w:i/>
          <w:iCs/>
          <w:highlight w:val="none"/>
          <w:lang w:val="en-US" w:eastAsia="zh-CN"/>
        </w:rPr>
        <w:t>R</w:t>
      </w:r>
      <m:oMath>
        <m:r>
          <m:rPr/>
          <w:rPr>
            <w:rFonts w:hint="default" w:ascii="Cambria Math" w:hAnsi="Cambria Math" w:cs="Times New Roman"/>
            <w:highlight w:val="none"/>
            <w:lang w:val="en-US" w:eastAsia="zh-CN"/>
          </w:rPr>
          <m:t>=（</m:t>
        </m:r>
        <m:f>
          <m:fPr>
            <m:ctrlPr>
              <w:rPr>
                <w:rFonts w:hint="default" w:ascii="Cambria Math" w:hAnsi="Cambria Math" w:cs="Times New Roman"/>
                <w:i/>
                <w:iCs/>
                <w:highlight w:val="none"/>
                <w:lang w:val="en-US" w:eastAsia="zh-CN"/>
              </w:rPr>
            </m:ctrlPr>
          </m:fPr>
          <m:num>
            <m:r>
              <m:rPr/>
              <w:rPr>
                <w:rFonts w:hint="default" w:ascii="Cambria Math" w:hAnsi="Cambria Math" w:cs="Times New Roman"/>
                <w:highlight w:val="none"/>
                <w:lang w:val="en-US" w:eastAsia="zh-CN"/>
              </w:rPr>
              <m:t>1</m:t>
            </m:r>
            <m:ctrlPr>
              <w:rPr>
                <w:rFonts w:hint="default" w:ascii="Cambria Math" w:hAnsi="Cambria Math" w:cs="Times New Roman"/>
                <w:i/>
                <w:iCs/>
                <w:highlight w:val="none"/>
                <w:lang w:val="en-US" w:eastAsia="zh-CN"/>
              </w:rPr>
            </m:ctrlPr>
          </m:num>
          <m:den>
            <m:r>
              <m:rPr/>
              <w:rPr>
                <w:rFonts w:hint="default" w:ascii="Cambria Math" w:hAnsi="Cambria Math" w:cs="Times New Roman"/>
                <w:highlight w:val="none"/>
                <w:lang w:val="en-US" w:eastAsia="zh-CN"/>
              </w:rPr>
              <m:t>4n</m:t>
            </m:r>
            <m:ctrlPr>
              <w:rPr>
                <w:rFonts w:hint="default" w:ascii="Cambria Math" w:hAnsi="Cambria Math" w:cs="Times New Roman"/>
                <w:i/>
                <w:iCs/>
                <w:highlight w:val="none"/>
                <w:lang w:val="en-US" w:eastAsia="zh-CN"/>
              </w:rPr>
            </m:ctrlPr>
          </m:den>
        </m:f>
        <m:nary>
          <m:naryPr>
            <m:chr m:val="∑"/>
            <m:limLoc m:val="undOvr"/>
            <m:ctrlPr>
              <w:rPr>
                <w:rFonts w:hint="default" w:ascii="Cambria Math" w:hAnsi="Cambria Math" w:cs="Times New Roman"/>
                <w:i/>
                <w:iCs/>
                <w:highlight w:val="none"/>
                <w:lang w:val="en-US" w:eastAsia="zh-CN"/>
              </w:rPr>
            </m:ctrlPr>
          </m:naryPr>
          <m:sub>
            <m:r>
              <m:rPr/>
              <w:rPr>
                <w:rFonts w:hint="default" w:ascii="Cambria Math" w:hAnsi="Cambria Math" w:cs="Times New Roman"/>
                <w:highlight w:val="none"/>
                <w:lang w:val="en-US" w:eastAsia="zh-CN"/>
              </w:rPr>
              <m:t>i=1</m:t>
            </m:r>
            <m:ctrlPr>
              <w:rPr>
                <w:rFonts w:hint="default" w:ascii="Cambria Math" w:hAnsi="Cambria Math" w:cs="Times New Roman"/>
                <w:i/>
                <w:iCs/>
                <w:highlight w:val="none"/>
                <w:lang w:val="en-US" w:eastAsia="zh-CN"/>
              </w:rPr>
            </m:ctrlPr>
          </m:sub>
          <m:sup>
            <m:r>
              <m:rPr/>
              <w:rPr>
                <w:rFonts w:hint="default" w:ascii="Cambria Math" w:hAnsi="Cambria Math" w:cs="Times New Roman"/>
                <w:highlight w:val="none"/>
                <w:lang w:val="en-US" w:eastAsia="zh-CN"/>
              </w:rPr>
              <m:t>n</m:t>
            </m:r>
            <m:ctrlPr>
              <w:rPr>
                <w:rFonts w:hint="default" w:ascii="Cambria Math" w:hAnsi="Cambria Math" w:cs="Times New Roman"/>
                <w:i/>
                <w:iCs/>
                <w:highlight w:val="none"/>
                <w:lang w:val="en-US" w:eastAsia="zh-CN"/>
              </w:rPr>
            </m:ctrlPr>
          </m:sup>
          <m:e>
            <m:sSub>
              <m:sSubPr>
                <m:ctrlPr>
                  <w:rPr>
                    <w:rFonts w:hint="default" w:ascii="Cambria Math" w:hAnsi="Cambria Math" w:cs="Times New Roman"/>
                    <w:i/>
                    <w:iCs/>
                    <w:highlight w:val="none"/>
                    <w:lang w:val="en-US" w:eastAsia="zh-CN"/>
                  </w:rPr>
                </m:ctrlPr>
              </m:sSubPr>
              <m:e>
                <m:r>
                  <m:rPr/>
                  <w:rPr>
                    <w:rFonts w:hint="default" w:ascii="Cambria Math" w:hAnsi="Cambria Math" w:cs="Times New Roman"/>
                    <w:highlight w:val="none"/>
                    <w:lang w:val="en-US" w:eastAsia="zh-CN"/>
                  </w:rPr>
                  <m:t>q</m:t>
                </m:r>
                <m:ctrlPr>
                  <w:rPr>
                    <w:rFonts w:hint="default" w:ascii="Cambria Math" w:hAnsi="Cambria Math" w:cs="Times New Roman"/>
                    <w:i/>
                    <w:iCs/>
                    <w:highlight w:val="none"/>
                    <w:lang w:val="en-US" w:eastAsia="zh-CN"/>
                  </w:rPr>
                </m:ctrlPr>
              </m:e>
              <m:sub>
                <m:r>
                  <m:rPr/>
                  <w:rPr>
                    <w:rFonts w:hint="default" w:ascii="Cambria Math" w:hAnsi="Cambria Math" w:cs="Times New Roman"/>
                    <w:highlight w:val="none"/>
                    <w:lang w:val="en-US" w:eastAsia="zh-CN"/>
                  </w:rPr>
                  <m:t>i</m:t>
                </m:r>
                <m:ctrlPr>
                  <w:rPr>
                    <w:rFonts w:hint="default" w:ascii="Cambria Math" w:hAnsi="Cambria Math" w:cs="Times New Roman"/>
                    <w:i/>
                    <w:iCs/>
                    <w:highlight w:val="none"/>
                    <w:lang w:val="en-US" w:eastAsia="zh-CN"/>
                  </w:rPr>
                </m:ctrlPr>
              </m:sub>
            </m:sSub>
            <m:ctrlPr>
              <w:rPr>
                <w:rFonts w:hint="default" w:ascii="Cambria Math" w:hAnsi="Cambria Math" w:cs="Times New Roman"/>
                <w:i/>
                <w:iCs/>
                <w:highlight w:val="none"/>
                <w:lang w:val="en-US" w:eastAsia="zh-CN"/>
              </w:rPr>
            </m:ctrlPr>
          </m:e>
        </m:nary>
        <m:r>
          <m:rPr/>
          <w:rPr>
            <w:rFonts w:hint="default" w:ascii="Cambria Math" w:hAnsi="Cambria Math" w:cs="Times New Roman"/>
            <w:highlight w:val="none"/>
            <w:lang w:val="en-US" w:eastAsia="zh-CN"/>
          </w:rPr>
          <m:t>−</m:t>
        </m:r>
        <m:f>
          <m:fPr>
            <m:ctrlPr>
              <w:rPr>
                <w:rFonts w:hint="default" w:ascii="Cambria Math" w:hAnsi="Cambria Math" w:cs="Times New Roman"/>
                <w:i/>
                <w:iCs/>
                <w:highlight w:val="none"/>
                <w:lang w:val="en-US" w:eastAsia="zh-CN"/>
              </w:rPr>
            </m:ctrlPr>
          </m:fPr>
          <m:num>
            <m:r>
              <m:rPr/>
              <w:rPr>
                <w:rFonts w:hint="default" w:ascii="Cambria Math" w:hAnsi="Cambria Math" w:cs="Times New Roman"/>
                <w:highlight w:val="none"/>
                <w:lang w:val="en-US" w:eastAsia="zh-CN"/>
              </w:rPr>
              <m:t>1</m:t>
            </m:r>
            <m:ctrlPr>
              <w:rPr>
                <w:rFonts w:hint="default" w:ascii="Cambria Math" w:hAnsi="Cambria Math" w:cs="Times New Roman"/>
                <w:i/>
                <w:iCs/>
                <w:highlight w:val="none"/>
                <w:lang w:val="en-US" w:eastAsia="zh-CN"/>
              </w:rPr>
            </m:ctrlPr>
          </m:num>
          <m:den>
            <m:r>
              <m:rPr/>
              <w:rPr>
                <w:rFonts w:hint="default" w:ascii="Cambria Math" w:hAnsi="Cambria Math" w:cs="Times New Roman"/>
                <w:highlight w:val="none"/>
                <w:lang w:val="en-US" w:eastAsia="zh-CN"/>
              </w:rPr>
              <m:t>4</m:t>
            </m:r>
            <m:ctrlPr>
              <w:rPr>
                <w:rFonts w:hint="default" w:ascii="Cambria Math" w:hAnsi="Cambria Math" w:cs="Times New Roman"/>
                <w:i/>
                <w:iCs/>
                <w:highlight w:val="none"/>
                <w:lang w:val="en-US" w:eastAsia="zh-CN"/>
              </w:rPr>
            </m:ctrlPr>
          </m:den>
        </m:f>
        <m:r>
          <m:rPr/>
          <w:rPr>
            <w:rFonts w:hint="default" w:ascii="Cambria Math" w:hAnsi="Cambria Math" w:cs="Times New Roman"/>
            <w:highlight w:val="none"/>
            <w:lang w:val="en-US" w:eastAsia="zh-CN"/>
          </w:rPr>
          <m:t>）×1</m:t>
        </m:r>
      </m:oMath>
      <w:r>
        <w:rPr>
          <w:rFonts w:hint="default" w:ascii="Times New Roman" w:hAnsi="Times New Roman" w:cs="Times New Roman"/>
          <w:i/>
          <w:iCs/>
          <w:highlight w:val="none"/>
          <w:lang w:val="en-US" w:eastAsia="zh-CN"/>
        </w:rPr>
        <w:t>00</w:t>
      </w:r>
      <w:r>
        <w:rPr>
          <w:rFonts w:hint="default" w:ascii="Times New Roman" w:hAnsi="Times New Roman" w:cs="Times New Roman"/>
          <w:i w:val="0"/>
          <w:iCs/>
          <w:highlight w:val="none"/>
          <w:lang w:val="en-US" w:eastAsia="zh-CN"/>
        </w:rPr>
        <w:t>…………………………（</w:t>
      </w:r>
      <w:r>
        <w:rPr>
          <w:rFonts w:hint="eastAsia" w:ascii="Times New Roman" w:hAnsi="Times New Roman" w:cs="Times New Roman"/>
          <w:i w:val="0"/>
          <w:iCs/>
          <w:highlight w:val="none"/>
          <w:lang w:val="en-US" w:eastAsia="zh-CN"/>
        </w:rPr>
        <w:t>E</w:t>
      </w:r>
      <w:r>
        <w:rPr>
          <w:rFonts w:hint="default" w:ascii="Times New Roman" w:hAnsi="Times New Roman" w:cs="Times New Roman"/>
          <w:i w:val="0"/>
          <w:iCs/>
          <w:highlight w:val="none"/>
          <w:lang w:val="en-US" w:eastAsia="zh-CN"/>
        </w:rPr>
        <w:t>.1）</w:t>
      </w:r>
    </w:p>
    <w:p w14:paraId="1F4F5370">
      <w:pPr>
        <w:spacing w:line="276" w:lineRule="auto"/>
        <w:ind w:firstLine="420" w:firstLineChars="200"/>
        <w:rPr>
          <w:rFonts w:hint="eastAsia" w:hAnsi="Cambria Math"/>
          <w:i w:val="0"/>
          <w:iCs/>
          <w:highlight w:val="none"/>
          <w:lang w:val="en-US" w:eastAsia="zh-CN"/>
        </w:rPr>
      </w:pPr>
      <w:r>
        <w:rPr>
          <w:rFonts w:hint="eastAsia" w:hAnsi="Cambria Math"/>
          <w:i w:val="0"/>
          <w:iCs/>
          <w:highlight w:val="none"/>
          <w:lang w:val="en-US" w:eastAsia="zh-CN"/>
        </w:rPr>
        <w:t>式中：</w:t>
      </w:r>
    </w:p>
    <w:tbl>
      <w:tblPr>
        <w:tblStyle w:val="37"/>
        <w:tblW w:w="0" w:type="auto"/>
        <w:tblInd w:w="51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28"/>
        <w:gridCol w:w="581"/>
        <w:gridCol w:w="8248"/>
      </w:tblGrid>
      <w:tr w14:paraId="3144E5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28" w:type="dxa"/>
          </w:tcPr>
          <w:p w14:paraId="4D4DBF16">
            <w:pPr>
              <w:spacing w:line="276" w:lineRule="auto"/>
              <w:jc w:val="right"/>
              <w:rPr>
                <w:rFonts w:hint="default" w:hAnsi="Cambria Math" w:eastAsia="宋体"/>
                <w:i/>
                <w:iCs w:val="0"/>
                <w:highlight w:val="none"/>
                <w:vertAlign w:val="baseline"/>
                <w:lang w:val="en-US" w:eastAsia="zh-CN"/>
              </w:rPr>
            </w:pPr>
            <w:r>
              <w:rPr>
                <w:rFonts w:hint="eastAsia" w:hAnsi="Cambria Math"/>
                <w:i/>
                <w:iCs w:val="0"/>
                <w:highlight w:val="none"/>
                <w:vertAlign w:val="baseline"/>
                <w:lang w:val="en-US" w:eastAsia="zh-CN"/>
              </w:rPr>
              <w:t>R</w:t>
            </w:r>
          </w:p>
        </w:tc>
        <w:tc>
          <w:tcPr>
            <w:tcW w:w="581" w:type="dxa"/>
          </w:tcPr>
          <w:p w14:paraId="777A982D">
            <w:pPr>
              <w:spacing w:line="276" w:lineRule="auto"/>
              <w:jc w:val="both"/>
              <w:rPr>
                <w:rFonts w:hint="default" w:hAnsi="Cambria Math" w:eastAsia="宋体"/>
                <w:iCs/>
                <w:highlight w:val="none"/>
                <w:vertAlign w:val="baseline"/>
                <w:lang w:val="en-US" w:eastAsia="zh-CN"/>
              </w:rPr>
            </w:pPr>
            <w:r>
              <w:rPr>
                <w:rFonts w:hint="eastAsia" w:hAnsi="Cambria Math"/>
                <w:iCs/>
                <w:highlight w:val="none"/>
                <w:vertAlign w:val="baseline"/>
                <w:lang w:val="en-US" w:eastAsia="zh-CN"/>
              </w:rPr>
              <w:t>—</w:t>
            </w:r>
          </w:p>
        </w:tc>
        <w:tc>
          <w:tcPr>
            <w:tcW w:w="8248" w:type="dxa"/>
          </w:tcPr>
          <w:p w14:paraId="6FF96AFC">
            <w:pPr>
              <w:spacing w:line="276" w:lineRule="auto"/>
              <w:jc w:val="both"/>
              <w:rPr>
                <w:rFonts w:hint="default" w:hAnsi="Cambria Math" w:eastAsia="宋体"/>
                <w:iCs/>
                <w:highlight w:val="none"/>
                <w:vertAlign w:val="baseline"/>
                <w:lang w:val="en-US" w:eastAsia="zh-CN"/>
              </w:rPr>
            </w:pPr>
            <w:r>
              <w:rPr>
                <w:rFonts w:hint="eastAsia" w:hAnsi="Cambria Math"/>
                <w:iCs/>
                <w:highlight w:val="none"/>
                <w:vertAlign w:val="baseline"/>
                <w:lang w:val="en-US" w:eastAsia="zh-CN"/>
              </w:rPr>
              <w:t>数据质量评价系数；</w:t>
            </w:r>
          </w:p>
        </w:tc>
      </w:tr>
      <w:tr w14:paraId="526D11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28" w:type="dxa"/>
          </w:tcPr>
          <w:p w14:paraId="3D134B9D">
            <w:pPr>
              <w:spacing w:line="276" w:lineRule="auto"/>
              <w:jc w:val="right"/>
              <w:rPr>
                <w:rFonts w:hint="default" w:hAnsi="Cambria Math" w:eastAsia="宋体"/>
                <w:i/>
                <w:iCs w:val="0"/>
                <w:highlight w:val="none"/>
                <w:vertAlign w:val="baseline"/>
                <w:lang w:val="en-US" w:eastAsia="zh-CN"/>
              </w:rPr>
            </w:pPr>
            <w:r>
              <w:rPr>
                <w:rFonts w:hint="eastAsia" w:hAnsi="Cambria Math"/>
                <w:i/>
                <w:iCs w:val="0"/>
                <w:highlight w:val="none"/>
                <w:vertAlign w:val="baseline"/>
                <w:lang w:val="en-US" w:eastAsia="zh-CN"/>
              </w:rPr>
              <w:t>n</w:t>
            </w:r>
          </w:p>
        </w:tc>
        <w:tc>
          <w:tcPr>
            <w:tcW w:w="581" w:type="dxa"/>
          </w:tcPr>
          <w:p w14:paraId="497DCD5D">
            <w:pPr>
              <w:spacing w:line="276" w:lineRule="auto"/>
              <w:jc w:val="both"/>
              <w:rPr>
                <w:rFonts w:hint="default" w:hAnsi="Cambria Math" w:eastAsia="宋体"/>
                <w:iCs/>
                <w:highlight w:val="none"/>
                <w:vertAlign w:val="baseline"/>
                <w:lang w:val="en-US" w:eastAsia="zh-CN"/>
              </w:rPr>
            </w:pPr>
            <w:r>
              <w:rPr>
                <w:rFonts w:hint="eastAsia" w:hAnsi="Cambria Math"/>
                <w:iCs/>
                <w:highlight w:val="none"/>
                <w:vertAlign w:val="baseline"/>
                <w:lang w:val="en-US" w:eastAsia="zh-CN"/>
              </w:rPr>
              <w:t>—</w:t>
            </w:r>
          </w:p>
        </w:tc>
        <w:tc>
          <w:tcPr>
            <w:tcW w:w="8248" w:type="dxa"/>
          </w:tcPr>
          <w:p w14:paraId="4E7E23CF">
            <w:pPr>
              <w:spacing w:line="276" w:lineRule="auto"/>
              <w:jc w:val="both"/>
              <w:rPr>
                <w:rFonts w:hint="default" w:hAnsi="Cambria Math" w:eastAsia="宋体"/>
                <w:iCs/>
                <w:highlight w:val="none"/>
                <w:vertAlign w:val="baseline"/>
                <w:lang w:val="en-US" w:eastAsia="zh-CN"/>
              </w:rPr>
            </w:pPr>
            <w:r>
              <w:rPr>
                <w:rFonts w:hint="eastAsia" w:hAnsi="Cambria Math"/>
                <w:iCs/>
                <w:highlight w:val="none"/>
                <w:vertAlign w:val="baseline"/>
                <w:lang w:val="en-US" w:eastAsia="zh-CN"/>
              </w:rPr>
              <w:t>评价指标数量，取5；</w:t>
            </w:r>
          </w:p>
        </w:tc>
      </w:tr>
      <w:tr w14:paraId="25BD57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28" w:type="dxa"/>
          </w:tcPr>
          <w:p w14:paraId="37751C1F">
            <w:pPr>
              <w:spacing w:line="276" w:lineRule="auto"/>
              <w:jc w:val="right"/>
              <w:rPr>
                <w:rFonts w:hint="default" w:hAnsi="Cambria Math"/>
                <w:i/>
                <w:iCs w:val="0"/>
                <w:highlight w:val="none"/>
                <w:vertAlign w:val="baseline"/>
                <w:lang w:val="en-US" w:eastAsia="zh-CN"/>
              </w:rPr>
            </w:pPr>
            <w:r>
              <w:rPr>
                <w:rFonts w:hint="eastAsia" w:hAnsi="Cambria Math"/>
                <w:i/>
                <w:iCs w:val="0"/>
                <w:highlight w:val="none"/>
                <w:vertAlign w:val="baseline"/>
                <w:lang w:val="en-US" w:eastAsia="zh-CN"/>
              </w:rPr>
              <w:t>qi</w:t>
            </w:r>
          </w:p>
        </w:tc>
        <w:tc>
          <w:tcPr>
            <w:tcW w:w="581" w:type="dxa"/>
          </w:tcPr>
          <w:p w14:paraId="1076DC97">
            <w:pPr>
              <w:spacing w:line="276" w:lineRule="auto"/>
              <w:jc w:val="both"/>
              <w:rPr>
                <w:rFonts w:hint="default" w:hAnsi="Cambria Math" w:eastAsia="宋体"/>
                <w:iCs/>
                <w:highlight w:val="none"/>
                <w:vertAlign w:val="baseline"/>
                <w:lang w:val="en-US" w:eastAsia="zh-CN"/>
              </w:rPr>
            </w:pPr>
            <w:r>
              <w:rPr>
                <w:rFonts w:hint="eastAsia" w:hAnsi="Cambria Math"/>
                <w:iCs/>
                <w:highlight w:val="none"/>
                <w:vertAlign w:val="baseline"/>
                <w:lang w:val="en-US" w:eastAsia="zh-CN"/>
              </w:rPr>
              <w:t>—</w:t>
            </w:r>
          </w:p>
        </w:tc>
        <w:tc>
          <w:tcPr>
            <w:tcW w:w="8248" w:type="dxa"/>
          </w:tcPr>
          <w:p w14:paraId="59B4C5DA">
            <w:pPr>
              <w:spacing w:line="276" w:lineRule="auto"/>
              <w:jc w:val="both"/>
              <w:rPr>
                <w:rFonts w:hint="default" w:hAnsi="Cambria Math" w:eastAsia="宋体"/>
                <w:iCs/>
                <w:highlight w:val="none"/>
                <w:vertAlign w:val="baseline"/>
                <w:lang w:val="en-US" w:eastAsia="zh-CN"/>
              </w:rPr>
            </w:pPr>
            <w:r>
              <w:rPr>
                <w:rFonts w:hint="eastAsia" w:hAnsi="Cambria Math"/>
                <w:iCs/>
                <w:highlight w:val="none"/>
                <w:vertAlign w:val="baseline"/>
                <w:lang w:val="en-US" w:eastAsia="zh-CN"/>
              </w:rPr>
              <w:t>每个评价指标分值。</w:t>
            </w:r>
          </w:p>
        </w:tc>
      </w:tr>
    </w:tbl>
    <w:p w14:paraId="71C0AE16">
      <w:pPr>
        <w:pStyle w:val="27"/>
        <w:ind w:left="0" w:leftChars="0" w:firstLine="0" w:firstLineChars="0"/>
        <w:rPr>
          <w:rFonts w:hint="eastAsia" w:hAnsi="Cambria Math"/>
          <w:iCs/>
          <w:highlight w:val="none"/>
          <w:lang w:val="en-US" w:eastAsia="zh-CN"/>
        </w:rPr>
      </w:pPr>
      <w:r>
        <w:rPr>
          <w:rFonts w:hint="eastAsia" w:hAnsi="Cambria Math"/>
          <w:iCs/>
          <w:highlight w:val="none"/>
          <w:lang w:val="en-US" w:eastAsia="zh-CN"/>
        </w:rPr>
        <w:t xml:space="preserve">E.3 </w:t>
      </w:r>
      <w:r>
        <w:rPr>
          <w:rFonts w:hint="eastAsia" w:hAnsi="Cambria Math"/>
          <w:iCs/>
          <w:highlight w:val="none"/>
        </w:rPr>
        <w:t>数据质量</w:t>
      </w:r>
      <w:r>
        <w:rPr>
          <w:rFonts w:hint="eastAsia" w:hAnsi="Cambria Math"/>
          <w:iCs/>
          <w:highlight w:val="none"/>
          <w:lang w:val="en-US" w:eastAsia="zh-CN"/>
        </w:rPr>
        <w:t>评价系数满足以下要求：</w:t>
      </w:r>
    </w:p>
    <w:p w14:paraId="5955CF62">
      <w:pPr>
        <w:pStyle w:val="152"/>
        <w:numPr>
          <w:ilvl w:val="0"/>
          <w:numId w:val="24"/>
        </w:numPr>
        <w:adjustRightInd w:val="0"/>
        <w:snapToGrid w:val="0"/>
        <w:spacing w:line="276" w:lineRule="auto"/>
        <w:ind w:left="0" w:firstLine="425" w:firstLineChars="0"/>
        <w:jc w:val="left"/>
        <w:outlineLvl w:val="9"/>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系统边界内某单元过程碳足迹量化结果占比超过70%时，R≤50；</w:t>
      </w:r>
    </w:p>
    <w:p w14:paraId="6BDF2555">
      <w:pPr>
        <w:pStyle w:val="152"/>
        <w:numPr>
          <w:ilvl w:val="0"/>
          <w:numId w:val="24"/>
        </w:numPr>
        <w:adjustRightInd w:val="0"/>
        <w:snapToGrid w:val="0"/>
        <w:spacing w:line="276" w:lineRule="auto"/>
        <w:ind w:left="0" w:firstLine="425" w:firstLineChars="0"/>
        <w:jc w:val="left"/>
        <w:outlineLvl w:val="9"/>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系统边界内某单元过程碳足迹量化结果占比在20%~30%时，R≤75；</w:t>
      </w:r>
    </w:p>
    <w:p w14:paraId="5A0E3658">
      <w:pPr>
        <w:pStyle w:val="152"/>
        <w:numPr>
          <w:ilvl w:val="0"/>
          <w:numId w:val="24"/>
        </w:numPr>
        <w:adjustRightInd w:val="0"/>
        <w:snapToGrid w:val="0"/>
        <w:spacing w:line="276" w:lineRule="auto"/>
        <w:ind w:left="0" w:firstLine="425" w:firstLineChars="0"/>
        <w:jc w:val="left"/>
        <w:outlineLvl w:val="9"/>
        <w:rPr>
          <w:rFonts w:hint="eastAsia"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系统边界内某单元过程碳足迹量化结果占比不超过10%时，使用可获得的数据即可。</w:t>
      </w:r>
    </w:p>
    <w:p w14:paraId="52284129">
      <w:pPr>
        <w:spacing w:line="276" w:lineRule="auto"/>
        <w:jc w:val="center"/>
        <w:outlineLvl w:val="0"/>
        <w:rPr>
          <w:rFonts w:hint="eastAsia" w:eastAsia="宋体"/>
          <w:sz w:val="28"/>
          <w:szCs w:val="32"/>
          <w:highlight w:val="none"/>
          <w:lang w:val="en-US" w:eastAsia="zh-CN"/>
        </w:rPr>
        <w:sectPr>
          <w:pgSz w:w="11906" w:h="16838"/>
          <w:pgMar w:top="1021" w:right="1134" w:bottom="1021" w:left="1021" w:header="1134" w:footer="1134" w:gutter="0"/>
          <w:cols w:space="425" w:num="1"/>
          <w:formProt w:val="0"/>
          <w:titlePg/>
          <w:docGrid w:type="linesAndChars" w:linePitch="312" w:charSpace="0"/>
        </w:sectPr>
      </w:pPr>
    </w:p>
    <w:p w14:paraId="295F649A">
      <w:pPr>
        <w:adjustRightInd w:val="0"/>
        <w:snapToGrid w:val="0"/>
        <w:spacing w:before="120" w:beforeLines="50" w:after="120" w:afterLines="50" w:line="360" w:lineRule="exact"/>
        <w:jc w:val="center"/>
        <w:outlineLvl w:val="0"/>
        <w:rPr>
          <w:rFonts w:ascii="黑体" w:hAnsi="宋体" w:eastAsia="黑体"/>
          <w:sz w:val="21"/>
          <w:szCs w:val="21"/>
        </w:rPr>
      </w:pPr>
      <w:bookmarkStart w:id="72" w:name="_Toc180780463"/>
      <w:bookmarkStart w:id="73" w:name="_Toc8707"/>
      <w:r>
        <w:rPr>
          <w:rFonts w:ascii="黑体" w:hAnsi="宋体" w:eastAsia="黑体"/>
          <w:sz w:val="21"/>
          <w:szCs w:val="21"/>
        </w:rPr>
        <w:t>附录F</w:t>
      </w:r>
      <w:r>
        <w:rPr>
          <w:rFonts w:ascii="黑体" w:hAnsi="宋体" w:eastAsia="黑体"/>
          <w:sz w:val="21"/>
          <w:szCs w:val="21"/>
        </w:rPr>
        <w:br w:type="textWrapping"/>
      </w:r>
      <w:r>
        <w:rPr>
          <w:rFonts w:hint="eastAsia" w:ascii="黑体" w:hAnsi="宋体" w:eastAsia="黑体"/>
          <w:sz w:val="21"/>
          <w:szCs w:val="21"/>
        </w:rPr>
        <w:t>（资料性）</w:t>
      </w:r>
      <w:r>
        <w:rPr>
          <w:rFonts w:ascii="黑体" w:hAnsi="宋体" w:eastAsia="黑体"/>
          <w:sz w:val="21"/>
          <w:szCs w:val="21"/>
        </w:rPr>
        <w:br w:type="textWrapping"/>
      </w:r>
      <w:r>
        <w:rPr>
          <w:rFonts w:hint="eastAsia" w:ascii="黑体" w:hAnsi="宋体" w:eastAsia="黑体"/>
          <w:sz w:val="21"/>
          <w:szCs w:val="21"/>
        </w:rPr>
        <w:t>产品碳足迹报告</w:t>
      </w:r>
      <w:bookmarkEnd w:id="72"/>
      <w:r>
        <w:rPr>
          <w:rFonts w:hint="eastAsia" w:ascii="黑体" w:hAnsi="宋体" w:eastAsia="黑体"/>
          <w:sz w:val="21"/>
          <w:szCs w:val="21"/>
        </w:rPr>
        <w:t>（模板）</w:t>
      </w:r>
      <w:bookmarkEnd w:id="73"/>
    </w:p>
    <w:p w14:paraId="7C6BEF7D">
      <w:pPr>
        <w:widowControl/>
        <w:tabs>
          <w:tab w:val="center" w:pos="4201"/>
          <w:tab w:val="right" w:leader="dot" w:pos="9298"/>
        </w:tabs>
        <w:autoSpaceDE w:val="0"/>
        <w:autoSpaceDN w:val="0"/>
        <w:adjustRightInd w:val="0"/>
        <w:snapToGrid w:val="0"/>
        <w:spacing w:line="360" w:lineRule="exact"/>
        <w:ind w:firstLine="420" w:firstLineChars="200"/>
        <w:rPr>
          <w:szCs w:val="21"/>
        </w:rPr>
      </w:pPr>
      <w:r>
        <w:rPr>
          <w:szCs w:val="21"/>
        </w:rPr>
        <w:t>产品碳足迹报告格式模板如下。</w:t>
      </w:r>
    </w:p>
    <w:p w14:paraId="69D9E27D">
      <w:pPr>
        <w:widowControl/>
        <w:tabs>
          <w:tab w:val="center" w:pos="4201"/>
          <w:tab w:val="right" w:leader="dot" w:pos="9298"/>
        </w:tabs>
        <w:autoSpaceDE w:val="0"/>
        <w:autoSpaceDN w:val="0"/>
        <w:adjustRightInd w:val="0"/>
        <w:snapToGrid w:val="0"/>
        <w:spacing w:line="360" w:lineRule="exact"/>
        <w:ind w:firstLine="420" w:firstLineChars="200"/>
        <w:rPr>
          <w:szCs w:val="21"/>
        </w:rPr>
      </w:pPr>
    </w:p>
    <w:p w14:paraId="4A46F7A4">
      <w:pPr>
        <w:widowControl/>
        <w:tabs>
          <w:tab w:val="center" w:pos="4201"/>
          <w:tab w:val="right" w:leader="dot" w:pos="9298"/>
        </w:tabs>
        <w:autoSpaceDE w:val="0"/>
        <w:autoSpaceDN w:val="0"/>
        <w:adjustRightInd w:val="0"/>
        <w:snapToGrid w:val="0"/>
        <w:spacing w:line="360" w:lineRule="exact"/>
        <w:ind w:firstLine="420" w:firstLineChars="200"/>
        <w:rPr>
          <w:szCs w:val="21"/>
        </w:rPr>
      </w:pPr>
      <w:r>
        <w:rPr>
          <w:szCs w:val="21"/>
        </w:rPr>
        <mc:AlternateContent>
          <mc:Choice Requires="wps">
            <w:drawing>
              <wp:anchor distT="0" distB="0" distL="114300" distR="114300" simplePos="0" relativeHeight="251672576" behindDoc="1" locked="0" layoutInCell="1" allowOverlap="1">
                <wp:simplePos x="0" y="0"/>
                <wp:positionH relativeFrom="column">
                  <wp:posOffset>-6350</wp:posOffset>
                </wp:positionH>
                <wp:positionV relativeFrom="paragraph">
                  <wp:posOffset>16510</wp:posOffset>
                </wp:positionV>
                <wp:extent cx="6119495" cy="7919720"/>
                <wp:effectExtent l="4445" t="4445" r="17780" b="15875"/>
                <wp:wrapNone/>
                <wp:docPr id="2" name="矩形 2"/>
                <wp:cNvGraphicFramePr/>
                <a:graphic xmlns:a="http://schemas.openxmlformats.org/drawingml/2006/main">
                  <a:graphicData uri="http://schemas.microsoft.com/office/word/2010/wordprocessingShape">
                    <wps:wsp>
                      <wps:cNvSpPr/>
                      <wps:spPr>
                        <a:xfrm>
                          <a:off x="0" y="0"/>
                          <a:ext cx="6119495" cy="7919720"/>
                        </a:xfrm>
                        <a:prstGeom prst="rect">
                          <a:avLst/>
                        </a:prstGeom>
                        <a:no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0.5pt;margin-top:1.3pt;height:623.6pt;width:481.85pt;z-index:-251643904;v-text-anchor:middle;mso-width-relative:page;mso-height-relative:page;" filled="f" stroked="t" coordsize="21600,21600" o:gfxdata="UEsDBAoAAAAAAIdO4kAAAAAAAAAAAAAAAAAEAAAAZHJzL1BLAwQUAAAACACHTuJAoEmWZNgAAAAJ&#10;AQAADwAAAGRycy9kb3ducmV2LnhtbE2PwU7DMBBE70j8g7VI3FonUUmTEKdCSFx6ANEicd3GbhwR&#10;r6PYacrfs5zgOJrRzJt6d3WDuJgp9J4UpOsEhKHW6546BR/Hl1UBIkQkjYMno+DbBNg1tzc1Vtov&#10;9G4uh9gJLqFQoQIb41hJGVprHIa1Hw2xd/aTw8hy6qSecOFyN8gsSXLpsCdesDiaZ2var8PsFBTl&#10;dn7YnHG2n2/L/pVs/tQme6Xu79LkEUQ01/gXhl98RoeGmU5+Jh3EoGCV8pWoIMtBsF3m2RbEiXPZ&#10;pixANrX8/6D5AVBLAwQUAAAACACHTuJA2L3uyXACAADWBAAADgAAAGRycy9lMm9Eb2MueG1srVRL&#10;btswFNwX6B0I7htZrpPUhuXAiJGiQNAESIquaYq0BPBXkrbsXqZAdz1EjlP0Gh1SyqdpF1nUC/lR&#10;73Hem+FQ87O9VmQnfGitqWh5NKJEGG7r1mwq+un24s07SkJkpmbKGlHRgwj0bPH61bxzMzG2jVW1&#10;8AQgJsw6V9EmRjcrisAboVk4sk4YJKX1mkUs/aaoPeuArlUxHo1Ois762nnLRQh4u+qTdED0LwG0&#10;UrZcrCzfamFij+qFYhGUQtO6QBd5WikFj1dSBhGJqiiYxvxEE8Tr9CwWczbbeOaalg8jsJeM8IyT&#10;Zq1B0weoFYuMbH37F5RuubfBynjErS56IlkRsChHz7S5aZgTmQukDu5B9PD/YPnH3bUnbV3RMSWG&#10;aRz4r28/ft59J+OkTefCDCU37toPq4AwEd1Lr9M/KJB91vPwoKfYR8Lx8qQsp5PpMSUcudNpOT0d&#10;Z8WLx+3Oh/heWE1SUFGPA8s6st1liGiJ0vuS1M3Yi1apfGjKkK6ib8vThM9gRAkDINQOZILZUMLU&#10;Bg7n0WfEYFVbp90JJxzCufJkx2ALeLO23S2GpkSxEJEAk/xLEmCCP7amcVYsNP3mnBrKlEnQIrtu&#10;mD7p1yuWorWtD1Db296GwfGLFmiXaHrNPHwHV+Jmxis8pLKgZ4eIksb6r/96n+phB2Qp6eBjcP+y&#10;ZV6AywcDo0zLySQZPy8mx+kEiH+aWT/NmK0+t9CkxDfA8Rym+qjuQ+mt/owLvExdkWKGo3ev8rA4&#10;j/39wieAi+Uyl8HsjsVLc+N4Au+PcrmNVrb5lB/VgeBpAbtn6Yerme7T03WuevwcLX4D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oEmWZNgAAAAJAQAADwAAAAAAAAABACAAAAAiAAAAZHJzL2Rvd25y&#10;ZXYueG1sUEsBAhQAFAAAAAgAh07iQNi97slwAgAA1gQAAA4AAAAAAAAAAQAgAAAAJwEAAGRycy9l&#10;Mm9Eb2MueG1sUEsFBgAAAAAGAAYAWQEAAAkGAAAAAA==&#10;">
                <v:fill on="f" focussize="0,0"/>
                <v:stroke weight="0.25pt" color="#000000" joinstyle="round"/>
                <v:imagedata o:title=""/>
                <o:lock v:ext="edit" aspectratio="f"/>
              </v:rect>
            </w:pict>
          </mc:Fallback>
        </mc:AlternateContent>
      </w:r>
    </w:p>
    <w:p w14:paraId="13A9AB06">
      <w:pPr>
        <w:widowControl/>
        <w:tabs>
          <w:tab w:val="center" w:pos="4201"/>
          <w:tab w:val="right" w:leader="dot" w:pos="9298"/>
        </w:tabs>
        <w:autoSpaceDE w:val="0"/>
        <w:autoSpaceDN w:val="0"/>
        <w:adjustRightInd w:val="0"/>
        <w:snapToGrid w:val="0"/>
        <w:spacing w:line="360" w:lineRule="exact"/>
        <w:ind w:firstLine="420" w:firstLineChars="200"/>
        <w:rPr>
          <w:szCs w:val="21"/>
        </w:rPr>
      </w:pPr>
    </w:p>
    <w:p w14:paraId="5C86BDAC">
      <w:pPr>
        <w:widowControl/>
        <w:tabs>
          <w:tab w:val="center" w:pos="4201"/>
          <w:tab w:val="right" w:leader="dot" w:pos="9298"/>
        </w:tabs>
        <w:autoSpaceDE w:val="0"/>
        <w:autoSpaceDN w:val="0"/>
        <w:adjustRightInd w:val="0"/>
        <w:snapToGrid w:val="0"/>
        <w:spacing w:line="360" w:lineRule="exact"/>
        <w:ind w:firstLine="420" w:firstLineChars="200"/>
        <w:rPr>
          <w:szCs w:val="21"/>
        </w:rPr>
      </w:pPr>
    </w:p>
    <w:p w14:paraId="3BFDCDCB">
      <w:pPr>
        <w:widowControl/>
        <w:tabs>
          <w:tab w:val="center" w:pos="4201"/>
          <w:tab w:val="right" w:leader="dot" w:pos="9298"/>
        </w:tabs>
        <w:autoSpaceDE w:val="0"/>
        <w:autoSpaceDN w:val="0"/>
        <w:adjustRightInd w:val="0"/>
        <w:snapToGrid w:val="0"/>
        <w:spacing w:line="360" w:lineRule="exact"/>
        <w:ind w:firstLine="420" w:firstLineChars="200"/>
        <w:rPr>
          <w:szCs w:val="21"/>
        </w:rPr>
      </w:pPr>
    </w:p>
    <w:p w14:paraId="6846810C">
      <w:pPr>
        <w:adjustRightInd w:val="0"/>
        <w:snapToGrid w:val="0"/>
        <w:spacing w:line="360" w:lineRule="auto"/>
        <w:jc w:val="center"/>
        <w:rPr>
          <w:spacing w:val="7"/>
          <w:sz w:val="48"/>
          <w:szCs w:val="48"/>
        </w:rPr>
      </w:pPr>
      <w:r>
        <w:rPr>
          <w:spacing w:val="7"/>
          <w:sz w:val="48"/>
          <w:szCs w:val="48"/>
        </w:rPr>
        <w:t>产品碳足迹报告</w:t>
      </w:r>
      <w:r>
        <w:rPr>
          <w:rFonts w:hint="eastAsia"/>
          <w:spacing w:val="7"/>
          <w:sz w:val="48"/>
          <w:szCs w:val="48"/>
        </w:rPr>
        <w:t>（模板）</w:t>
      </w:r>
    </w:p>
    <w:p w14:paraId="755EF553">
      <w:pPr>
        <w:adjustRightInd w:val="0"/>
        <w:snapToGrid w:val="0"/>
        <w:spacing w:line="360" w:lineRule="auto"/>
        <w:jc w:val="center"/>
        <w:rPr>
          <w:spacing w:val="7"/>
          <w:sz w:val="28"/>
          <w:szCs w:val="28"/>
        </w:rPr>
      </w:pPr>
      <w:r>
        <w:rPr>
          <w:rFonts w:hint="eastAsia"/>
          <w:spacing w:val="7"/>
          <w:sz w:val="28"/>
          <w:szCs w:val="28"/>
        </w:rPr>
        <w:t>（报告编号：</w:t>
      </w:r>
      <w:r>
        <w:rPr>
          <w:rFonts w:hint="eastAsia"/>
          <w:spacing w:val="7"/>
          <w:sz w:val="28"/>
          <w:szCs w:val="28"/>
          <w:u w:val="single"/>
        </w:rPr>
        <w:t xml:space="preserve">                    </w:t>
      </w:r>
      <w:r>
        <w:rPr>
          <w:rFonts w:hint="eastAsia"/>
          <w:spacing w:val="7"/>
          <w:sz w:val="28"/>
          <w:szCs w:val="28"/>
        </w:rPr>
        <w:t>）</w:t>
      </w:r>
    </w:p>
    <w:p w14:paraId="66CC156A">
      <w:pPr>
        <w:widowControl/>
        <w:tabs>
          <w:tab w:val="center" w:pos="4201"/>
          <w:tab w:val="right" w:leader="dot" w:pos="9298"/>
        </w:tabs>
        <w:autoSpaceDE w:val="0"/>
        <w:autoSpaceDN w:val="0"/>
        <w:adjustRightInd w:val="0"/>
        <w:snapToGrid w:val="0"/>
        <w:spacing w:line="360" w:lineRule="exact"/>
        <w:ind w:firstLine="420" w:firstLineChars="200"/>
        <w:rPr>
          <w:szCs w:val="21"/>
        </w:rPr>
      </w:pPr>
    </w:p>
    <w:p w14:paraId="0A4FEEF9">
      <w:pPr>
        <w:widowControl/>
        <w:tabs>
          <w:tab w:val="center" w:pos="4201"/>
          <w:tab w:val="right" w:leader="dot" w:pos="9298"/>
        </w:tabs>
        <w:autoSpaceDE w:val="0"/>
        <w:autoSpaceDN w:val="0"/>
        <w:adjustRightInd w:val="0"/>
        <w:snapToGrid w:val="0"/>
        <w:spacing w:line="360" w:lineRule="exact"/>
        <w:ind w:firstLine="420" w:firstLineChars="200"/>
        <w:rPr>
          <w:szCs w:val="21"/>
        </w:rPr>
      </w:pPr>
    </w:p>
    <w:p w14:paraId="74D3689C">
      <w:pPr>
        <w:widowControl/>
        <w:tabs>
          <w:tab w:val="center" w:pos="4201"/>
          <w:tab w:val="right" w:leader="dot" w:pos="9298"/>
        </w:tabs>
        <w:autoSpaceDE w:val="0"/>
        <w:autoSpaceDN w:val="0"/>
        <w:adjustRightInd w:val="0"/>
        <w:snapToGrid w:val="0"/>
        <w:spacing w:line="360" w:lineRule="exact"/>
        <w:ind w:firstLine="420" w:firstLineChars="200"/>
        <w:rPr>
          <w:szCs w:val="21"/>
        </w:rPr>
      </w:pPr>
    </w:p>
    <w:p w14:paraId="251A316E">
      <w:pPr>
        <w:widowControl/>
        <w:tabs>
          <w:tab w:val="center" w:pos="4201"/>
          <w:tab w:val="right" w:leader="dot" w:pos="9298"/>
        </w:tabs>
        <w:autoSpaceDE w:val="0"/>
        <w:autoSpaceDN w:val="0"/>
        <w:adjustRightInd w:val="0"/>
        <w:snapToGrid w:val="0"/>
        <w:spacing w:line="360" w:lineRule="exact"/>
        <w:ind w:firstLine="420" w:firstLineChars="200"/>
        <w:rPr>
          <w:szCs w:val="21"/>
        </w:rPr>
      </w:pPr>
    </w:p>
    <w:p w14:paraId="02DAED14">
      <w:pPr>
        <w:widowControl/>
        <w:tabs>
          <w:tab w:val="center" w:pos="4201"/>
          <w:tab w:val="right" w:leader="dot" w:pos="9298"/>
        </w:tabs>
        <w:autoSpaceDE w:val="0"/>
        <w:autoSpaceDN w:val="0"/>
        <w:adjustRightInd w:val="0"/>
        <w:snapToGrid w:val="0"/>
        <w:spacing w:line="360" w:lineRule="exact"/>
        <w:ind w:firstLine="420" w:firstLineChars="200"/>
        <w:rPr>
          <w:szCs w:val="21"/>
        </w:rPr>
      </w:pPr>
    </w:p>
    <w:p w14:paraId="2C53BD76">
      <w:pPr>
        <w:widowControl/>
        <w:tabs>
          <w:tab w:val="center" w:pos="4201"/>
          <w:tab w:val="right" w:leader="dot" w:pos="9298"/>
        </w:tabs>
        <w:autoSpaceDE w:val="0"/>
        <w:autoSpaceDN w:val="0"/>
        <w:adjustRightInd w:val="0"/>
        <w:snapToGrid w:val="0"/>
        <w:spacing w:line="360" w:lineRule="exact"/>
        <w:ind w:firstLine="420" w:firstLineChars="200"/>
        <w:rPr>
          <w:szCs w:val="21"/>
        </w:rPr>
      </w:pPr>
    </w:p>
    <w:tbl>
      <w:tblPr>
        <w:tblStyle w:val="37"/>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984"/>
        <w:gridCol w:w="283"/>
        <w:gridCol w:w="4819"/>
      </w:tblGrid>
      <w:tr w14:paraId="2A78B8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984" w:type="dxa"/>
            <w:vAlign w:val="bottom"/>
          </w:tcPr>
          <w:p w14:paraId="71840C95">
            <w:pPr>
              <w:adjustRightInd w:val="0"/>
              <w:snapToGrid w:val="0"/>
              <w:jc w:val="distribute"/>
              <w:rPr>
                <w:rFonts w:ascii="宋体" w:eastAsia="Times New Roman"/>
                <w:kern w:val="0"/>
                <w:sz w:val="28"/>
                <w:szCs w:val="28"/>
                <w:lang w:eastAsia="en-US"/>
              </w:rPr>
            </w:pPr>
            <w:r>
              <w:rPr>
                <w:rFonts w:hint="eastAsia" w:ascii="宋体"/>
                <w:kern w:val="0"/>
                <w:sz w:val="28"/>
                <w:szCs w:val="28"/>
              </w:rPr>
              <w:t>产品名称</w:t>
            </w:r>
          </w:p>
        </w:tc>
        <w:tc>
          <w:tcPr>
            <w:tcW w:w="283" w:type="dxa"/>
            <w:vAlign w:val="bottom"/>
          </w:tcPr>
          <w:p w14:paraId="4E3B6580">
            <w:pPr>
              <w:adjustRightInd w:val="0"/>
              <w:snapToGrid w:val="0"/>
              <w:jc w:val="center"/>
              <w:rPr>
                <w:rFonts w:ascii="宋体"/>
                <w:kern w:val="0"/>
                <w:sz w:val="28"/>
                <w:szCs w:val="28"/>
              </w:rPr>
            </w:pPr>
            <w:r>
              <w:rPr>
                <w:rFonts w:ascii="宋体"/>
                <w:kern w:val="0"/>
                <w:sz w:val="28"/>
                <w:szCs w:val="28"/>
              </w:rPr>
              <w:t>：</w:t>
            </w:r>
          </w:p>
        </w:tc>
        <w:tc>
          <w:tcPr>
            <w:tcW w:w="4819" w:type="dxa"/>
            <w:vAlign w:val="bottom"/>
          </w:tcPr>
          <w:p w14:paraId="34F3A606">
            <w:pPr>
              <w:adjustRightInd w:val="0"/>
              <w:snapToGrid w:val="0"/>
              <w:jc w:val="center"/>
              <w:rPr>
                <w:rFonts w:ascii="宋体" w:eastAsia="Times New Roman"/>
                <w:kern w:val="0"/>
                <w:sz w:val="28"/>
                <w:szCs w:val="28"/>
                <w:lang w:eastAsia="en-US"/>
              </w:rPr>
            </w:pPr>
          </w:p>
        </w:tc>
      </w:tr>
      <w:tr w14:paraId="33EDED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984" w:type="dxa"/>
            <w:vAlign w:val="bottom"/>
          </w:tcPr>
          <w:p w14:paraId="40D5055E">
            <w:pPr>
              <w:adjustRightInd w:val="0"/>
              <w:snapToGrid w:val="0"/>
              <w:jc w:val="distribute"/>
              <w:rPr>
                <w:rFonts w:ascii="宋体" w:eastAsia="Times New Roman"/>
                <w:kern w:val="0"/>
                <w:sz w:val="28"/>
                <w:szCs w:val="28"/>
                <w:lang w:eastAsia="en-US"/>
              </w:rPr>
            </w:pPr>
            <w:r>
              <w:rPr>
                <w:rFonts w:hint="eastAsia" w:ascii="宋体" w:hAnsi="宋体" w:cs="宋体"/>
                <w:kern w:val="0"/>
                <w:sz w:val="28"/>
                <w:szCs w:val="28"/>
              </w:rPr>
              <w:t>产品规格型号</w:t>
            </w:r>
          </w:p>
        </w:tc>
        <w:tc>
          <w:tcPr>
            <w:tcW w:w="283" w:type="dxa"/>
            <w:vAlign w:val="bottom"/>
          </w:tcPr>
          <w:p w14:paraId="43660247">
            <w:pPr>
              <w:adjustRightInd w:val="0"/>
              <w:snapToGrid w:val="0"/>
              <w:jc w:val="center"/>
              <w:rPr>
                <w:rFonts w:ascii="宋体"/>
                <w:kern w:val="0"/>
                <w:sz w:val="28"/>
                <w:szCs w:val="28"/>
              </w:rPr>
            </w:pPr>
            <w:r>
              <w:rPr>
                <w:rFonts w:ascii="宋体"/>
                <w:kern w:val="0"/>
                <w:sz w:val="28"/>
                <w:szCs w:val="28"/>
              </w:rPr>
              <w:t>：</w:t>
            </w:r>
          </w:p>
        </w:tc>
        <w:tc>
          <w:tcPr>
            <w:tcW w:w="4819" w:type="dxa"/>
            <w:vAlign w:val="bottom"/>
          </w:tcPr>
          <w:p w14:paraId="61D8AFAC">
            <w:pPr>
              <w:adjustRightInd w:val="0"/>
              <w:snapToGrid w:val="0"/>
              <w:jc w:val="center"/>
              <w:rPr>
                <w:rFonts w:ascii="宋体" w:eastAsia="Times New Roman"/>
                <w:kern w:val="0"/>
                <w:sz w:val="28"/>
                <w:szCs w:val="28"/>
                <w:lang w:eastAsia="en-US"/>
              </w:rPr>
            </w:pPr>
          </w:p>
        </w:tc>
      </w:tr>
      <w:tr w14:paraId="28EA32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984" w:type="dxa"/>
            <w:vAlign w:val="bottom"/>
          </w:tcPr>
          <w:p w14:paraId="62505AA1">
            <w:pPr>
              <w:adjustRightInd w:val="0"/>
              <w:snapToGrid w:val="0"/>
              <w:jc w:val="distribute"/>
              <w:rPr>
                <w:rFonts w:ascii="宋体" w:eastAsia="Times New Roman"/>
                <w:kern w:val="0"/>
                <w:sz w:val="28"/>
                <w:szCs w:val="28"/>
                <w:lang w:eastAsia="en-US"/>
              </w:rPr>
            </w:pPr>
            <w:r>
              <w:rPr>
                <w:rFonts w:hint="eastAsia" w:ascii="宋体" w:hAnsi="宋体" w:cs="宋体"/>
                <w:kern w:val="0"/>
                <w:sz w:val="28"/>
                <w:szCs w:val="28"/>
              </w:rPr>
              <w:t>生产者名称</w:t>
            </w:r>
          </w:p>
        </w:tc>
        <w:tc>
          <w:tcPr>
            <w:tcW w:w="283" w:type="dxa"/>
            <w:vAlign w:val="bottom"/>
          </w:tcPr>
          <w:p w14:paraId="4679125A">
            <w:pPr>
              <w:adjustRightInd w:val="0"/>
              <w:snapToGrid w:val="0"/>
              <w:jc w:val="center"/>
              <w:rPr>
                <w:rFonts w:ascii="宋体"/>
                <w:kern w:val="0"/>
                <w:sz w:val="28"/>
                <w:szCs w:val="28"/>
              </w:rPr>
            </w:pPr>
            <w:r>
              <w:rPr>
                <w:rFonts w:ascii="宋体"/>
                <w:kern w:val="0"/>
                <w:sz w:val="28"/>
                <w:szCs w:val="28"/>
              </w:rPr>
              <w:t>：</w:t>
            </w:r>
          </w:p>
        </w:tc>
        <w:tc>
          <w:tcPr>
            <w:tcW w:w="4819" w:type="dxa"/>
            <w:vAlign w:val="bottom"/>
          </w:tcPr>
          <w:p w14:paraId="50876F8F">
            <w:pPr>
              <w:adjustRightInd w:val="0"/>
              <w:snapToGrid w:val="0"/>
              <w:jc w:val="center"/>
              <w:rPr>
                <w:rFonts w:ascii="宋体" w:eastAsia="Times New Roman"/>
                <w:kern w:val="0"/>
                <w:sz w:val="28"/>
                <w:szCs w:val="28"/>
                <w:lang w:eastAsia="en-US"/>
              </w:rPr>
            </w:pPr>
          </w:p>
        </w:tc>
      </w:tr>
      <w:tr w14:paraId="4296A3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984" w:type="dxa"/>
            <w:vAlign w:val="bottom"/>
          </w:tcPr>
          <w:p w14:paraId="3C322EBE">
            <w:pPr>
              <w:adjustRightInd w:val="0"/>
              <w:snapToGrid w:val="0"/>
              <w:jc w:val="distribute"/>
              <w:rPr>
                <w:rFonts w:ascii="宋体"/>
                <w:kern w:val="0"/>
                <w:sz w:val="28"/>
                <w:szCs w:val="28"/>
              </w:rPr>
            </w:pPr>
            <w:r>
              <w:rPr>
                <w:rFonts w:hint="eastAsia" w:ascii="宋体"/>
                <w:kern w:val="0"/>
                <w:sz w:val="28"/>
                <w:szCs w:val="28"/>
              </w:rPr>
              <w:t>编制人员</w:t>
            </w:r>
          </w:p>
        </w:tc>
        <w:tc>
          <w:tcPr>
            <w:tcW w:w="283" w:type="dxa"/>
            <w:vAlign w:val="bottom"/>
          </w:tcPr>
          <w:p w14:paraId="2E17C1D5">
            <w:pPr>
              <w:adjustRightInd w:val="0"/>
              <w:snapToGrid w:val="0"/>
              <w:jc w:val="center"/>
              <w:rPr>
                <w:rFonts w:ascii="宋体"/>
                <w:kern w:val="0"/>
                <w:sz w:val="28"/>
                <w:szCs w:val="28"/>
              </w:rPr>
            </w:pPr>
            <w:r>
              <w:rPr>
                <w:rFonts w:ascii="宋体"/>
                <w:kern w:val="0"/>
                <w:sz w:val="28"/>
                <w:szCs w:val="28"/>
              </w:rPr>
              <w:t>：</w:t>
            </w:r>
          </w:p>
        </w:tc>
        <w:tc>
          <w:tcPr>
            <w:tcW w:w="4819" w:type="dxa"/>
            <w:vAlign w:val="bottom"/>
          </w:tcPr>
          <w:p w14:paraId="7EE589B3">
            <w:pPr>
              <w:adjustRightInd w:val="0"/>
              <w:snapToGrid w:val="0"/>
              <w:jc w:val="center"/>
              <w:rPr>
                <w:rFonts w:ascii="宋体" w:eastAsia="Times New Roman"/>
                <w:kern w:val="0"/>
                <w:sz w:val="28"/>
                <w:szCs w:val="28"/>
                <w:lang w:eastAsia="en-US"/>
              </w:rPr>
            </w:pPr>
          </w:p>
        </w:tc>
      </w:tr>
    </w:tbl>
    <w:p w14:paraId="5C8CB4F2">
      <w:pPr>
        <w:widowControl/>
        <w:tabs>
          <w:tab w:val="center" w:pos="4201"/>
          <w:tab w:val="right" w:leader="dot" w:pos="9298"/>
        </w:tabs>
        <w:autoSpaceDE w:val="0"/>
        <w:autoSpaceDN w:val="0"/>
        <w:adjustRightInd w:val="0"/>
        <w:snapToGrid w:val="0"/>
        <w:spacing w:line="360" w:lineRule="exact"/>
        <w:ind w:firstLine="420" w:firstLineChars="200"/>
        <w:rPr>
          <w:szCs w:val="21"/>
        </w:rPr>
      </w:pPr>
    </w:p>
    <w:p w14:paraId="31262020">
      <w:pPr>
        <w:widowControl/>
        <w:tabs>
          <w:tab w:val="center" w:pos="4201"/>
          <w:tab w:val="right" w:leader="dot" w:pos="9298"/>
        </w:tabs>
        <w:autoSpaceDE w:val="0"/>
        <w:autoSpaceDN w:val="0"/>
        <w:adjustRightInd w:val="0"/>
        <w:snapToGrid w:val="0"/>
        <w:spacing w:line="360" w:lineRule="exact"/>
        <w:ind w:firstLine="420" w:firstLineChars="200"/>
        <w:rPr>
          <w:szCs w:val="21"/>
        </w:rPr>
      </w:pPr>
    </w:p>
    <w:p w14:paraId="51E52544">
      <w:pPr>
        <w:widowControl/>
        <w:tabs>
          <w:tab w:val="center" w:pos="4201"/>
          <w:tab w:val="right" w:leader="dot" w:pos="9298"/>
        </w:tabs>
        <w:autoSpaceDE w:val="0"/>
        <w:autoSpaceDN w:val="0"/>
        <w:adjustRightInd w:val="0"/>
        <w:snapToGrid w:val="0"/>
        <w:spacing w:line="360" w:lineRule="exact"/>
        <w:ind w:firstLine="420" w:firstLineChars="200"/>
        <w:rPr>
          <w:szCs w:val="21"/>
        </w:rPr>
      </w:pPr>
    </w:p>
    <w:tbl>
      <w:tblPr>
        <w:tblStyle w:val="37"/>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268"/>
        <w:gridCol w:w="425"/>
        <w:gridCol w:w="851"/>
        <w:gridCol w:w="567"/>
        <w:gridCol w:w="709"/>
        <w:gridCol w:w="496"/>
        <w:gridCol w:w="709"/>
        <w:gridCol w:w="1483"/>
      </w:tblGrid>
      <w:tr w14:paraId="300D9E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268" w:type="dxa"/>
            <w:vAlign w:val="center"/>
          </w:tcPr>
          <w:p w14:paraId="43F36065">
            <w:pPr>
              <w:adjustRightInd w:val="0"/>
              <w:snapToGrid w:val="0"/>
              <w:jc w:val="center"/>
              <w:rPr>
                <w:rFonts w:ascii="宋体"/>
                <w:spacing w:val="21"/>
                <w:kern w:val="0"/>
                <w:sz w:val="28"/>
                <w:szCs w:val="28"/>
              </w:rPr>
            </w:pPr>
            <w:r>
              <w:rPr>
                <w:rFonts w:ascii="宋体"/>
                <w:spacing w:val="21"/>
                <w:kern w:val="0"/>
                <w:sz w:val="28"/>
                <w:szCs w:val="28"/>
              </w:rPr>
              <w:t>出具报告机构</w:t>
            </w:r>
          </w:p>
          <w:p w14:paraId="1945DA9A">
            <w:pPr>
              <w:adjustRightInd w:val="0"/>
              <w:snapToGrid w:val="0"/>
              <w:jc w:val="center"/>
              <w:rPr>
                <w:rFonts w:ascii="宋体"/>
                <w:kern w:val="0"/>
                <w:sz w:val="28"/>
                <w:szCs w:val="28"/>
              </w:rPr>
            </w:pPr>
            <w:r>
              <w:rPr>
                <w:rFonts w:ascii="宋体"/>
                <w:spacing w:val="21"/>
                <w:kern w:val="0"/>
                <w:sz w:val="28"/>
                <w:szCs w:val="28"/>
              </w:rPr>
              <w:t>（如有）</w:t>
            </w:r>
          </w:p>
        </w:tc>
        <w:tc>
          <w:tcPr>
            <w:tcW w:w="425" w:type="dxa"/>
            <w:vAlign w:val="center"/>
          </w:tcPr>
          <w:p w14:paraId="0D2B2173">
            <w:pPr>
              <w:adjustRightInd w:val="0"/>
              <w:snapToGrid w:val="0"/>
              <w:ind w:left="-105" w:leftChars="-50" w:right="-105" w:rightChars="-50"/>
              <w:jc w:val="center"/>
              <w:rPr>
                <w:rFonts w:ascii="宋体"/>
                <w:kern w:val="0"/>
                <w:sz w:val="28"/>
                <w:szCs w:val="28"/>
              </w:rPr>
            </w:pPr>
            <w:r>
              <w:rPr>
                <w:rFonts w:ascii="宋体"/>
                <w:kern w:val="0"/>
                <w:sz w:val="28"/>
                <w:szCs w:val="28"/>
              </w:rPr>
              <w:t>：</w:t>
            </w:r>
          </w:p>
        </w:tc>
        <w:tc>
          <w:tcPr>
            <w:tcW w:w="4815" w:type="dxa"/>
            <w:gridSpan w:val="6"/>
            <w:vAlign w:val="center"/>
          </w:tcPr>
          <w:p w14:paraId="6532FD1B">
            <w:pPr>
              <w:adjustRightInd w:val="0"/>
              <w:snapToGrid w:val="0"/>
              <w:jc w:val="right"/>
              <w:rPr>
                <w:rFonts w:ascii="宋体"/>
                <w:kern w:val="0"/>
                <w:sz w:val="28"/>
                <w:szCs w:val="28"/>
              </w:rPr>
            </w:pPr>
            <w:r>
              <w:rPr>
                <w:rFonts w:ascii="宋体"/>
                <w:kern w:val="0"/>
                <w:sz w:val="28"/>
                <w:szCs w:val="28"/>
              </w:rPr>
              <w:t>（盖章）</w:t>
            </w:r>
          </w:p>
        </w:tc>
      </w:tr>
      <w:tr w14:paraId="707641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268" w:type="dxa"/>
            <w:vAlign w:val="center"/>
          </w:tcPr>
          <w:p w14:paraId="649BB827">
            <w:pPr>
              <w:adjustRightInd w:val="0"/>
              <w:snapToGrid w:val="0"/>
              <w:jc w:val="distribute"/>
              <w:rPr>
                <w:rFonts w:ascii="宋体"/>
                <w:kern w:val="0"/>
                <w:sz w:val="28"/>
                <w:szCs w:val="28"/>
              </w:rPr>
            </w:pPr>
            <w:r>
              <w:rPr>
                <w:rFonts w:ascii="宋体"/>
                <w:kern w:val="0"/>
                <w:sz w:val="28"/>
                <w:szCs w:val="28"/>
              </w:rPr>
              <w:t>日期</w:t>
            </w:r>
          </w:p>
        </w:tc>
        <w:tc>
          <w:tcPr>
            <w:tcW w:w="425" w:type="dxa"/>
            <w:vAlign w:val="center"/>
          </w:tcPr>
          <w:p w14:paraId="0691CFD1">
            <w:pPr>
              <w:adjustRightInd w:val="0"/>
              <w:snapToGrid w:val="0"/>
              <w:ind w:left="-105" w:leftChars="-50" w:right="-105" w:rightChars="-50"/>
              <w:jc w:val="center"/>
              <w:rPr>
                <w:rFonts w:ascii="宋体"/>
                <w:kern w:val="0"/>
                <w:sz w:val="28"/>
                <w:szCs w:val="28"/>
              </w:rPr>
            </w:pPr>
            <w:r>
              <w:rPr>
                <w:rFonts w:ascii="宋体"/>
                <w:kern w:val="0"/>
                <w:sz w:val="28"/>
                <w:szCs w:val="28"/>
              </w:rPr>
              <w:t>：</w:t>
            </w:r>
          </w:p>
        </w:tc>
        <w:tc>
          <w:tcPr>
            <w:tcW w:w="851" w:type="dxa"/>
            <w:vAlign w:val="center"/>
          </w:tcPr>
          <w:p w14:paraId="1E60155F">
            <w:pPr>
              <w:adjustRightInd w:val="0"/>
              <w:snapToGrid w:val="0"/>
              <w:jc w:val="center"/>
              <w:rPr>
                <w:rFonts w:ascii="宋体" w:eastAsia="Times New Roman"/>
                <w:kern w:val="0"/>
                <w:sz w:val="28"/>
                <w:szCs w:val="28"/>
                <w:lang w:eastAsia="en-US"/>
              </w:rPr>
            </w:pPr>
          </w:p>
        </w:tc>
        <w:tc>
          <w:tcPr>
            <w:tcW w:w="567" w:type="dxa"/>
            <w:vAlign w:val="center"/>
          </w:tcPr>
          <w:p w14:paraId="4D8A0DF3">
            <w:pPr>
              <w:adjustRightInd w:val="0"/>
              <w:snapToGrid w:val="0"/>
              <w:jc w:val="center"/>
              <w:rPr>
                <w:rFonts w:ascii="宋体"/>
                <w:kern w:val="0"/>
                <w:sz w:val="28"/>
                <w:szCs w:val="28"/>
              </w:rPr>
            </w:pPr>
            <w:r>
              <w:rPr>
                <w:rFonts w:ascii="宋体"/>
                <w:kern w:val="0"/>
                <w:sz w:val="28"/>
                <w:szCs w:val="28"/>
              </w:rPr>
              <w:t>年</w:t>
            </w:r>
          </w:p>
        </w:tc>
        <w:tc>
          <w:tcPr>
            <w:tcW w:w="709" w:type="dxa"/>
            <w:vAlign w:val="center"/>
          </w:tcPr>
          <w:p w14:paraId="10FA2D0D">
            <w:pPr>
              <w:adjustRightInd w:val="0"/>
              <w:snapToGrid w:val="0"/>
              <w:jc w:val="center"/>
              <w:rPr>
                <w:rFonts w:ascii="宋体" w:eastAsia="Times New Roman"/>
                <w:kern w:val="0"/>
                <w:sz w:val="28"/>
                <w:szCs w:val="28"/>
                <w:lang w:eastAsia="en-US"/>
              </w:rPr>
            </w:pPr>
          </w:p>
        </w:tc>
        <w:tc>
          <w:tcPr>
            <w:tcW w:w="496" w:type="dxa"/>
            <w:vAlign w:val="center"/>
          </w:tcPr>
          <w:p w14:paraId="5466C08E">
            <w:pPr>
              <w:adjustRightInd w:val="0"/>
              <w:snapToGrid w:val="0"/>
              <w:jc w:val="center"/>
              <w:rPr>
                <w:rFonts w:ascii="宋体"/>
                <w:kern w:val="0"/>
                <w:sz w:val="28"/>
                <w:szCs w:val="28"/>
              </w:rPr>
            </w:pPr>
            <w:r>
              <w:rPr>
                <w:rFonts w:ascii="宋体"/>
                <w:kern w:val="0"/>
                <w:sz w:val="28"/>
                <w:szCs w:val="28"/>
              </w:rPr>
              <w:t>月</w:t>
            </w:r>
          </w:p>
        </w:tc>
        <w:tc>
          <w:tcPr>
            <w:tcW w:w="709" w:type="dxa"/>
            <w:vAlign w:val="center"/>
          </w:tcPr>
          <w:p w14:paraId="13E1BEAB">
            <w:pPr>
              <w:adjustRightInd w:val="0"/>
              <w:snapToGrid w:val="0"/>
              <w:jc w:val="center"/>
              <w:rPr>
                <w:rFonts w:ascii="宋体" w:eastAsia="Times New Roman"/>
                <w:kern w:val="0"/>
                <w:sz w:val="28"/>
                <w:szCs w:val="28"/>
                <w:lang w:eastAsia="en-US"/>
              </w:rPr>
            </w:pPr>
          </w:p>
        </w:tc>
        <w:tc>
          <w:tcPr>
            <w:tcW w:w="1483" w:type="dxa"/>
            <w:vAlign w:val="center"/>
          </w:tcPr>
          <w:p w14:paraId="3789D3CB">
            <w:pPr>
              <w:adjustRightInd w:val="0"/>
              <w:snapToGrid w:val="0"/>
              <w:jc w:val="center"/>
              <w:rPr>
                <w:rFonts w:ascii="宋体"/>
                <w:kern w:val="0"/>
                <w:sz w:val="28"/>
                <w:szCs w:val="28"/>
              </w:rPr>
            </w:pPr>
            <w:r>
              <w:rPr>
                <w:rFonts w:ascii="宋体"/>
                <w:kern w:val="0"/>
                <w:sz w:val="28"/>
                <w:szCs w:val="28"/>
              </w:rPr>
              <w:t>日</w:t>
            </w:r>
          </w:p>
        </w:tc>
      </w:tr>
    </w:tbl>
    <w:p w14:paraId="0AF52DDA">
      <w:pPr>
        <w:widowControl/>
        <w:tabs>
          <w:tab w:val="center" w:pos="4201"/>
          <w:tab w:val="right" w:leader="dot" w:pos="9298"/>
        </w:tabs>
        <w:autoSpaceDE w:val="0"/>
        <w:autoSpaceDN w:val="0"/>
        <w:adjustRightInd w:val="0"/>
        <w:snapToGrid w:val="0"/>
        <w:spacing w:line="360" w:lineRule="exact"/>
        <w:ind w:firstLine="420" w:firstLineChars="200"/>
        <w:rPr>
          <w:szCs w:val="21"/>
        </w:rPr>
      </w:pPr>
    </w:p>
    <w:p w14:paraId="21E1C51D">
      <w:pPr>
        <w:widowControl/>
        <w:tabs>
          <w:tab w:val="center" w:pos="4201"/>
          <w:tab w:val="right" w:leader="dot" w:pos="9298"/>
        </w:tabs>
        <w:autoSpaceDE w:val="0"/>
        <w:autoSpaceDN w:val="0"/>
        <w:adjustRightInd w:val="0"/>
        <w:snapToGrid w:val="0"/>
        <w:spacing w:line="360" w:lineRule="exact"/>
        <w:ind w:firstLine="420" w:firstLineChars="200"/>
        <w:rPr>
          <w:szCs w:val="21"/>
        </w:rPr>
      </w:pPr>
    </w:p>
    <w:p w14:paraId="43558296">
      <w:pPr>
        <w:widowControl/>
        <w:tabs>
          <w:tab w:val="center" w:pos="4201"/>
          <w:tab w:val="right" w:leader="dot" w:pos="9298"/>
        </w:tabs>
        <w:autoSpaceDE w:val="0"/>
        <w:autoSpaceDN w:val="0"/>
        <w:adjustRightInd w:val="0"/>
        <w:snapToGrid w:val="0"/>
        <w:spacing w:line="360" w:lineRule="exact"/>
        <w:ind w:firstLine="420" w:firstLineChars="200"/>
        <w:rPr>
          <w:szCs w:val="21"/>
        </w:rPr>
      </w:pPr>
    </w:p>
    <w:p w14:paraId="68E960B1">
      <w:pPr>
        <w:spacing w:line="491" w:lineRule="auto"/>
        <w:rPr>
          <w:sz w:val="28"/>
          <w:szCs w:val="28"/>
        </w:rPr>
        <w:sectPr>
          <w:footerReference r:id="rId15" w:type="default"/>
          <w:pgSz w:w="11907" w:h="16839"/>
          <w:pgMar w:top="1134" w:right="1134" w:bottom="1134" w:left="1134" w:header="850" w:footer="850" w:gutter="0"/>
          <w:cols w:space="720" w:num="1"/>
          <w:docGrid w:linePitch="286" w:charSpace="0"/>
        </w:sectPr>
      </w:pPr>
    </w:p>
    <w:p w14:paraId="6CB20B89">
      <w:pPr>
        <w:adjustRightInd w:val="0"/>
        <w:snapToGrid w:val="0"/>
        <w:spacing w:before="156" w:beforeLines="50" w:after="156" w:afterLines="50" w:line="360" w:lineRule="exact"/>
        <w:ind w:left="420" w:leftChars="200"/>
        <w:rPr>
          <w:rFonts w:eastAsia="黑体"/>
          <w:sz w:val="24"/>
        </w:rPr>
      </w:pPr>
      <w:r>
        <w:rPr>
          <w:sz w:val="24"/>
        </w:rPr>
        <mc:AlternateContent>
          <mc:Choice Requires="wps">
            <w:drawing>
              <wp:anchor distT="0" distB="0" distL="114300" distR="114300" simplePos="0" relativeHeight="251673600" behindDoc="1" locked="0" layoutInCell="1" allowOverlap="1">
                <wp:simplePos x="0" y="0"/>
                <wp:positionH relativeFrom="column">
                  <wp:posOffset>-1270</wp:posOffset>
                </wp:positionH>
                <wp:positionV relativeFrom="paragraph">
                  <wp:posOffset>-10160</wp:posOffset>
                </wp:positionV>
                <wp:extent cx="6120130" cy="9180195"/>
                <wp:effectExtent l="4445" t="4445" r="17145" b="5080"/>
                <wp:wrapNone/>
                <wp:docPr id="7" name="矩形 7"/>
                <wp:cNvGraphicFramePr/>
                <a:graphic xmlns:a="http://schemas.openxmlformats.org/drawingml/2006/main">
                  <a:graphicData uri="http://schemas.microsoft.com/office/word/2010/wordprocessingShape">
                    <wps:wsp>
                      <wps:cNvSpPr/>
                      <wps:spPr>
                        <a:xfrm>
                          <a:off x="0" y="0"/>
                          <a:ext cx="6120000" cy="9180000"/>
                        </a:xfrm>
                        <a:prstGeom prst="rect">
                          <a:avLst/>
                        </a:prstGeom>
                        <a:no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0.1pt;margin-top:-0.8pt;height:722.85pt;width:481.9pt;z-index:-251642880;v-text-anchor:middle;mso-width-relative:page;mso-height-relative:page;" filled="f" stroked="t" coordsize="21600,21600" o:gfxdata="UEsDBAoAAAAAAIdO4kAAAAAAAAAAAAAAAAAEAAAAZHJzL1BLAwQUAAAACACHTuJAGPiKzdcAAAAJ&#10;AQAADwAAAGRycy9kb3ducmV2LnhtbE2PQU/DMAyF70j8h8hI3Lako5StNJ0QEpcdQAwkrlnjNRWN&#10;UzXpOv495sROtvWenr9Xbc++FyccYxdIQ7ZUIJCaYDtqNXx+vCzWIGIyZE0fCDX8YIRtfX1VmdKG&#10;md7xtE+t4BCKpdHgUhpKKWPj0Ju4DAMSa8cwepP4HFtpRzNzuO/lSqlCetMRf3BmwGeHzfd+8hrW&#10;m4fpPj+ayX29zbtXcsVTo3Za395k6hFEwnP6N8MfPqNDzUyHMJGNotewWLGRR1aAYHlT3PFyYF+e&#10;5xnIupKXDepfUEsDBBQAAAAIAIdO4kBArbh6bQIAANYEAAAOAAAAZHJzL2Uyb0RvYy54bWytVM1u&#10;EzEQviPxDpbvdLOlbdqomypqVIRU0Uot4ux67awl/2E72YSXQeLGQ/A4iNfgs3f7Q+HQAzlsZjzj&#10;b2Y+f/bp2dZoshEhKmcbWu9NKBGWu1bZVUM/3l68OaYkJmZbpp0VDd2JSM/mr1+d9n4m9l3ndCsC&#10;AYiNs943tEvJz6oq8k4YFvecFxZB6YJhCW5YVW1gPdCNrvYnk6Oqd6H1wXERI1aXQ5COiOElgE5K&#10;xcXS8bURNg2oQWiWMFLslI90XrqVUvB0JWUUieiGYtJUvigC+y5/q/kpm60C853iYwvsJS08m8kw&#10;ZVH0AWrJEiProP6CMooHF51Me9yZahikMIIp6skzbm465kWZBVRH/0B6/H+w/MPmOhDVNnRKiWUG&#10;B/7r6/efP76Raeam93GGlBt/HUYvwsyDbmUw+R8jkG3hc/fAp9gmwrF4VOPAJ6CaI3ZSHxcHONXj&#10;dh9ieiecIdloaMCBFR7Z5jKmIfU+JVez7kJpjXU205b0DX1bTw+BzyBECQHANB7DRLuihOkVFM5T&#10;KIjRadXm3Xlz3MVzHciGQRbQZuv6WzRNiWYxIYBJyi9TgGb/2JrbWbLYDZtLaEzTNkOLorqx+8zf&#10;wFi27ly7A9vBDTKMnl8ooF2i6DUL0B2ows1MV/hI7TCeGy1KOhe+/Gs950MOiFLSQ8eY/fOaBYFZ&#10;3lsI5aQ+OMjCL87B4XQfTngauXsasWtz7sBJjTfA82Lm/KTvTRmc+YQLvMhVEWKWo/bA8uicp+F+&#10;4QngYrEoaRC7Z+nS3niewYejXKyTk6qc8iM7IDw7kHuhfrya+T499UvW43M0/w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AY+IrN1wAAAAkBAAAPAAAAAAAAAAEAIAAAACIAAABkcnMvZG93bnJldi54&#10;bWxQSwECFAAUAAAACACHTuJAQK24em0CAADWBAAADgAAAAAAAAABACAAAAAmAQAAZHJzL2Uyb0Rv&#10;Yy54bWxQSwUGAAAAAAYABgBZAQAABQYAAAAA&#10;">
                <v:fill on="f" focussize="0,0"/>
                <v:stroke weight="0.25pt" color="#000000" joinstyle="round"/>
                <v:imagedata o:title=""/>
                <o:lock v:ext="edit" aspectratio="f"/>
              </v:rect>
            </w:pict>
          </mc:Fallback>
        </mc:AlternateContent>
      </w:r>
      <w:r>
        <w:rPr>
          <w:rFonts w:eastAsia="黑体"/>
          <w:spacing w:val="-17"/>
          <w:sz w:val="24"/>
        </w:rPr>
        <w:t>一、概况</w:t>
      </w:r>
    </w:p>
    <w:p w14:paraId="2D11A4D7">
      <w:pPr>
        <w:adjustRightInd w:val="0"/>
        <w:snapToGrid w:val="0"/>
        <w:spacing w:before="156" w:beforeLines="50" w:after="156" w:afterLines="50" w:line="360" w:lineRule="exact"/>
        <w:ind w:left="420" w:leftChars="200"/>
        <w:rPr>
          <w:rFonts w:eastAsia="黑体"/>
          <w:sz w:val="22"/>
          <w:szCs w:val="22"/>
        </w:rPr>
      </w:pPr>
      <w:r>
        <w:rPr>
          <w:rFonts w:eastAsia="黑体"/>
          <w:spacing w:val="-9"/>
          <w:sz w:val="22"/>
          <w:szCs w:val="22"/>
        </w:rPr>
        <w:t>1、生产者信息</w:t>
      </w:r>
    </w:p>
    <w:tbl>
      <w:tblPr>
        <w:tblStyle w:val="37"/>
        <w:tblW w:w="0" w:type="auto"/>
        <w:tblInd w:w="97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984"/>
        <w:gridCol w:w="283"/>
        <w:gridCol w:w="3402"/>
      </w:tblGrid>
      <w:tr w14:paraId="7622B1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984" w:type="dxa"/>
            <w:vAlign w:val="bottom"/>
          </w:tcPr>
          <w:p w14:paraId="2D2A3F47">
            <w:pPr>
              <w:adjustRightInd w:val="0"/>
              <w:snapToGrid w:val="0"/>
              <w:jc w:val="distribute"/>
              <w:rPr>
                <w:rFonts w:ascii="宋体"/>
                <w:szCs w:val="21"/>
              </w:rPr>
            </w:pPr>
            <w:r>
              <w:rPr>
                <w:rFonts w:ascii="宋体"/>
                <w:szCs w:val="21"/>
              </w:rPr>
              <w:t>生产者名称</w:t>
            </w:r>
          </w:p>
        </w:tc>
        <w:tc>
          <w:tcPr>
            <w:tcW w:w="283" w:type="dxa"/>
            <w:vAlign w:val="bottom"/>
          </w:tcPr>
          <w:p w14:paraId="1DE17E67">
            <w:pPr>
              <w:adjustRightInd w:val="0"/>
              <w:snapToGrid w:val="0"/>
              <w:jc w:val="center"/>
              <w:rPr>
                <w:rFonts w:ascii="宋体"/>
                <w:szCs w:val="21"/>
              </w:rPr>
            </w:pPr>
            <w:r>
              <w:rPr>
                <w:rFonts w:hint="eastAsia" w:ascii="宋体"/>
                <w:szCs w:val="21"/>
              </w:rPr>
              <w:t>：</w:t>
            </w:r>
          </w:p>
        </w:tc>
        <w:tc>
          <w:tcPr>
            <w:tcW w:w="3402" w:type="dxa"/>
            <w:tcBorders>
              <w:bottom w:val="single" w:color="auto" w:sz="4" w:space="0"/>
            </w:tcBorders>
            <w:vAlign w:val="bottom"/>
          </w:tcPr>
          <w:p w14:paraId="7FCB25F8">
            <w:pPr>
              <w:adjustRightInd w:val="0"/>
              <w:snapToGrid w:val="0"/>
              <w:rPr>
                <w:rFonts w:ascii="宋体"/>
                <w:szCs w:val="21"/>
              </w:rPr>
            </w:pPr>
          </w:p>
        </w:tc>
      </w:tr>
      <w:tr w14:paraId="6EC2E6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984" w:type="dxa"/>
            <w:vAlign w:val="bottom"/>
          </w:tcPr>
          <w:p w14:paraId="5AAED8B6">
            <w:pPr>
              <w:adjustRightInd w:val="0"/>
              <w:snapToGrid w:val="0"/>
              <w:jc w:val="distribute"/>
              <w:rPr>
                <w:rFonts w:ascii="宋体"/>
                <w:szCs w:val="21"/>
              </w:rPr>
            </w:pPr>
            <w:r>
              <w:rPr>
                <w:rFonts w:ascii="宋体"/>
                <w:szCs w:val="21"/>
              </w:rPr>
              <w:t>地址</w:t>
            </w:r>
          </w:p>
        </w:tc>
        <w:tc>
          <w:tcPr>
            <w:tcW w:w="283" w:type="dxa"/>
            <w:vAlign w:val="bottom"/>
          </w:tcPr>
          <w:p w14:paraId="52F5CBCD">
            <w:pPr>
              <w:adjustRightInd w:val="0"/>
              <w:snapToGrid w:val="0"/>
              <w:jc w:val="center"/>
              <w:rPr>
                <w:rFonts w:ascii="宋体"/>
                <w:szCs w:val="21"/>
              </w:rPr>
            </w:pPr>
            <w:r>
              <w:rPr>
                <w:rFonts w:hint="eastAsia" w:ascii="宋体"/>
                <w:szCs w:val="21"/>
              </w:rPr>
              <w:t>：</w:t>
            </w:r>
          </w:p>
        </w:tc>
        <w:tc>
          <w:tcPr>
            <w:tcW w:w="3402" w:type="dxa"/>
            <w:tcBorders>
              <w:top w:val="single" w:color="auto" w:sz="4" w:space="0"/>
              <w:bottom w:val="single" w:color="auto" w:sz="4" w:space="0"/>
            </w:tcBorders>
            <w:vAlign w:val="bottom"/>
          </w:tcPr>
          <w:p w14:paraId="341349FB">
            <w:pPr>
              <w:adjustRightInd w:val="0"/>
              <w:snapToGrid w:val="0"/>
              <w:rPr>
                <w:rFonts w:ascii="宋体"/>
                <w:szCs w:val="21"/>
              </w:rPr>
            </w:pPr>
          </w:p>
        </w:tc>
      </w:tr>
      <w:tr w14:paraId="67274E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984" w:type="dxa"/>
            <w:vAlign w:val="bottom"/>
          </w:tcPr>
          <w:p w14:paraId="4F33852D">
            <w:pPr>
              <w:adjustRightInd w:val="0"/>
              <w:snapToGrid w:val="0"/>
              <w:jc w:val="distribute"/>
              <w:rPr>
                <w:rFonts w:ascii="宋体"/>
                <w:szCs w:val="21"/>
              </w:rPr>
            </w:pPr>
            <w:r>
              <w:rPr>
                <w:rFonts w:hint="eastAsia" w:ascii="宋体"/>
                <w:szCs w:val="21"/>
              </w:rPr>
              <w:t>统一社会信用代码</w:t>
            </w:r>
          </w:p>
        </w:tc>
        <w:tc>
          <w:tcPr>
            <w:tcW w:w="283" w:type="dxa"/>
            <w:vAlign w:val="bottom"/>
          </w:tcPr>
          <w:p w14:paraId="4B95D021">
            <w:pPr>
              <w:adjustRightInd w:val="0"/>
              <w:snapToGrid w:val="0"/>
              <w:jc w:val="center"/>
              <w:rPr>
                <w:rFonts w:ascii="宋体"/>
                <w:szCs w:val="21"/>
              </w:rPr>
            </w:pPr>
            <w:r>
              <w:rPr>
                <w:rFonts w:hint="eastAsia" w:ascii="宋体"/>
                <w:szCs w:val="21"/>
              </w:rPr>
              <w:t>：</w:t>
            </w:r>
          </w:p>
        </w:tc>
        <w:tc>
          <w:tcPr>
            <w:tcW w:w="3402" w:type="dxa"/>
            <w:tcBorders>
              <w:top w:val="single" w:color="auto" w:sz="4" w:space="0"/>
              <w:bottom w:val="single" w:color="auto" w:sz="4" w:space="0"/>
            </w:tcBorders>
            <w:vAlign w:val="bottom"/>
          </w:tcPr>
          <w:p w14:paraId="28C026E0">
            <w:pPr>
              <w:adjustRightInd w:val="0"/>
              <w:snapToGrid w:val="0"/>
              <w:rPr>
                <w:rFonts w:ascii="宋体"/>
                <w:szCs w:val="21"/>
              </w:rPr>
            </w:pPr>
          </w:p>
        </w:tc>
      </w:tr>
      <w:tr w14:paraId="6CFE08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984" w:type="dxa"/>
            <w:vAlign w:val="bottom"/>
          </w:tcPr>
          <w:p w14:paraId="2E2D0DF0">
            <w:pPr>
              <w:tabs>
                <w:tab w:val="left" w:pos="4257"/>
                <w:tab w:val="left" w:pos="4258"/>
                <w:tab w:val="left" w:pos="4307"/>
              </w:tabs>
              <w:adjustRightInd w:val="0"/>
              <w:snapToGrid w:val="0"/>
              <w:jc w:val="distribute"/>
              <w:rPr>
                <w:rFonts w:ascii="宋体"/>
                <w:szCs w:val="21"/>
                <w:u w:val="single"/>
              </w:rPr>
            </w:pPr>
            <w:r>
              <w:rPr>
                <w:rFonts w:ascii="宋体"/>
                <w:szCs w:val="21"/>
              </w:rPr>
              <w:t>法定代表人</w:t>
            </w:r>
          </w:p>
        </w:tc>
        <w:tc>
          <w:tcPr>
            <w:tcW w:w="283" w:type="dxa"/>
            <w:vAlign w:val="bottom"/>
          </w:tcPr>
          <w:p w14:paraId="1666E7CC">
            <w:pPr>
              <w:tabs>
                <w:tab w:val="left" w:pos="4257"/>
                <w:tab w:val="left" w:pos="4258"/>
                <w:tab w:val="left" w:pos="4307"/>
              </w:tabs>
              <w:adjustRightInd w:val="0"/>
              <w:snapToGrid w:val="0"/>
              <w:jc w:val="center"/>
              <w:rPr>
                <w:rFonts w:ascii="宋体"/>
                <w:szCs w:val="21"/>
              </w:rPr>
            </w:pPr>
            <w:r>
              <w:rPr>
                <w:rFonts w:hint="eastAsia" w:ascii="宋体"/>
                <w:szCs w:val="21"/>
              </w:rPr>
              <w:t>：</w:t>
            </w:r>
          </w:p>
        </w:tc>
        <w:tc>
          <w:tcPr>
            <w:tcW w:w="3402" w:type="dxa"/>
            <w:tcBorders>
              <w:top w:val="single" w:color="auto" w:sz="4" w:space="0"/>
              <w:bottom w:val="single" w:color="auto" w:sz="4" w:space="0"/>
            </w:tcBorders>
            <w:vAlign w:val="bottom"/>
          </w:tcPr>
          <w:p w14:paraId="52A6573C">
            <w:pPr>
              <w:tabs>
                <w:tab w:val="left" w:pos="4257"/>
                <w:tab w:val="left" w:pos="4258"/>
                <w:tab w:val="left" w:pos="4307"/>
              </w:tabs>
              <w:adjustRightInd w:val="0"/>
              <w:snapToGrid w:val="0"/>
              <w:rPr>
                <w:rFonts w:ascii="宋体"/>
                <w:szCs w:val="21"/>
              </w:rPr>
            </w:pPr>
          </w:p>
        </w:tc>
      </w:tr>
      <w:tr w14:paraId="3C79FC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984" w:type="dxa"/>
            <w:vAlign w:val="bottom"/>
          </w:tcPr>
          <w:p w14:paraId="76F78C1D">
            <w:pPr>
              <w:tabs>
                <w:tab w:val="left" w:pos="4257"/>
                <w:tab w:val="left" w:pos="4258"/>
                <w:tab w:val="left" w:pos="4307"/>
              </w:tabs>
              <w:adjustRightInd w:val="0"/>
              <w:snapToGrid w:val="0"/>
              <w:jc w:val="distribute"/>
              <w:rPr>
                <w:rFonts w:ascii="宋体"/>
                <w:szCs w:val="21"/>
                <w:u w:val="single"/>
              </w:rPr>
            </w:pPr>
            <w:r>
              <w:rPr>
                <w:rFonts w:ascii="宋体"/>
                <w:szCs w:val="21"/>
              </w:rPr>
              <w:t>授权人（联系人）</w:t>
            </w:r>
          </w:p>
        </w:tc>
        <w:tc>
          <w:tcPr>
            <w:tcW w:w="283" w:type="dxa"/>
            <w:vAlign w:val="bottom"/>
          </w:tcPr>
          <w:p w14:paraId="11121D3E">
            <w:pPr>
              <w:tabs>
                <w:tab w:val="left" w:pos="4257"/>
                <w:tab w:val="left" w:pos="4258"/>
                <w:tab w:val="left" w:pos="4307"/>
              </w:tabs>
              <w:adjustRightInd w:val="0"/>
              <w:snapToGrid w:val="0"/>
              <w:jc w:val="center"/>
              <w:rPr>
                <w:rFonts w:ascii="宋体"/>
                <w:szCs w:val="21"/>
              </w:rPr>
            </w:pPr>
            <w:r>
              <w:rPr>
                <w:rFonts w:hint="eastAsia" w:ascii="宋体"/>
                <w:szCs w:val="21"/>
              </w:rPr>
              <w:t>：</w:t>
            </w:r>
          </w:p>
        </w:tc>
        <w:tc>
          <w:tcPr>
            <w:tcW w:w="3402" w:type="dxa"/>
            <w:tcBorders>
              <w:top w:val="single" w:color="auto" w:sz="4" w:space="0"/>
              <w:bottom w:val="single" w:color="auto" w:sz="4" w:space="0"/>
            </w:tcBorders>
            <w:vAlign w:val="bottom"/>
          </w:tcPr>
          <w:p w14:paraId="3A1CF172">
            <w:pPr>
              <w:tabs>
                <w:tab w:val="left" w:pos="4257"/>
                <w:tab w:val="left" w:pos="4258"/>
                <w:tab w:val="left" w:pos="4307"/>
              </w:tabs>
              <w:adjustRightInd w:val="0"/>
              <w:snapToGrid w:val="0"/>
              <w:rPr>
                <w:rFonts w:ascii="宋体"/>
                <w:szCs w:val="21"/>
              </w:rPr>
            </w:pPr>
          </w:p>
        </w:tc>
      </w:tr>
      <w:tr w14:paraId="0B1D8C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984" w:type="dxa"/>
            <w:vAlign w:val="bottom"/>
          </w:tcPr>
          <w:p w14:paraId="08203713">
            <w:pPr>
              <w:tabs>
                <w:tab w:val="left" w:pos="4257"/>
                <w:tab w:val="left" w:pos="4258"/>
                <w:tab w:val="left" w:pos="4307"/>
              </w:tabs>
              <w:adjustRightInd w:val="0"/>
              <w:snapToGrid w:val="0"/>
              <w:jc w:val="distribute"/>
              <w:rPr>
                <w:rFonts w:ascii="宋体"/>
                <w:szCs w:val="21"/>
                <w:u w:val="single"/>
              </w:rPr>
            </w:pPr>
            <w:r>
              <w:rPr>
                <w:rFonts w:ascii="宋体"/>
                <w:szCs w:val="21"/>
              </w:rPr>
              <w:t>联系电话</w:t>
            </w:r>
          </w:p>
        </w:tc>
        <w:tc>
          <w:tcPr>
            <w:tcW w:w="283" w:type="dxa"/>
            <w:vAlign w:val="bottom"/>
          </w:tcPr>
          <w:p w14:paraId="5AB60219">
            <w:pPr>
              <w:tabs>
                <w:tab w:val="left" w:pos="4257"/>
                <w:tab w:val="left" w:pos="4258"/>
                <w:tab w:val="left" w:pos="4307"/>
              </w:tabs>
              <w:adjustRightInd w:val="0"/>
              <w:snapToGrid w:val="0"/>
              <w:jc w:val="center"/>
              <w:rPr>
                <w:rFonts w:ascii="宋体"/>
                <w:szCs w:val="21"/>
              </w:rPr>
            </w:pPr>
            <w:r>
              <w:rPr>
                <w:rFonts w:hint="eastAsia" w:ascii="宋体"/>
                <w:szCs w:val="21"/>
              </w:rPr>
              <w:t>：</w:t>
            </w:r>
          </w:p>
        </w:tc>
        <w:tc>
          <w:tcPr>
            <w:tcW w:w="3402" w:type="dxa"/>
            <w:tcBorders>
              <w:top w:val="single" w:color="auto" w:sz="4" w:space="0"/>
              <w:bottom w:val="single" w:color="auto" w:sz="4" w:space="0"/>
            </w:tcBorders>
            <w:vAlign w:val="bottom"/>
          </w:tcPr>
          <w:p w14:paraId="2C597617">
            <w:pPr>
              <w:tabs>
                <w:tab w:val="left" w:pos="4257"/>
                <w:tab w:val="left" w:pos="4258"/>
                <w:tab w:val="left" w:pos="4307"/>
              </w:tabs>
              <w:adjustRightInd w:val="0"/>
              <w:snapToGrid w:val="0"/>
              <w:rPr>
                <w:rFonts w:ascii="宋体"/>
                <w:szCs w:val="21"/>
              </w:rPr>
            </w:pPr>
          </w:p>
        </w:tc>
      </w:tr>
      <w:tr w14:paraId="5B11F9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984" w:type="dxa"/>
            <w:vAlign w:val="bottom"/>
          </w:tcPr>
          <w:p w14:paraId="48118E3F">
            <w:pPr>
              <w:tabs>
                <w:tab w:val="left" w:pos="4257"/>
                <w:tab w:val="left" w:pos="4258"/>
                <w:tab w:val="left" w:pos="4307"/>
              </w:tabs>
              <w:adjustRightInd w:val="0"/>
              <w:snapToGrid w:val="0"/>
              <w:jc w:val="distribute"/>
              <w:rPr>
                <w:rFonts w:ascii="宋体"/>
                <w:szCs w:val="21"/>
                <w:u w:val="single"/>
              </w:rPr>
            </w:pPr>
            <w:r>
              <w:rPr>
                <w:rFonts w:ascii="宋体"/>
                <w:szCs w:val="21"/>
              </w:rPr>
              <w:t>企业概况</w:t>
            </w:r>
          </w:p>
        </w:tc>
        <w:tc>
          <w:tcPr>
            <w:tcW w:w="283" w:type="dxa"/>
            <w:vAlign w:val="bottom"/>
          </w:tcPr>
          <w:p w14:paraId="1B5D0110">
            <w:pPr>
              <w:tabs>
                <w:tab w:val="left" w:pos="4257"/>
                <w:tab w:val="left" w:pos="4258"/>
                <w:tab w:val="left" w:pos="4307"/>
              </w:tabs>
              <w:adjustRightInd w:val="0"/>
              <w:snapToGrid w:val="0"/>
              <w:jc w:val="center"/>
              <w:rPr>
                <w:rFonts w:ascii="宋体"/>
                <w:szCs w:val="21"/>
              </w:rPr>
            </w:pPr>
            <w:r>
              <w:rPr>
                <w:rFonts w:hint="eastAsia" w:ascii="宋体"/>
                <w:szCs w:val="21"/>
              </w:rPr>
              <w:t>：</w:t>
            </w:r>
          </w:p>
        </w:tc>
        <w:tc>
          <w:tcPr>
            <w:tcW w:w="3402" w:type="dxa"/>
            <w:tcBorders>
              <w:top w:val="single" w:color="auto" w:sz="4" w:space="0"/>
              <w:bottom w:val="single" w:color="auto" w:sz="4" w:space="0"/>
            </w:tcBorders>
            <w:vAlign w:val="bottom"/>
          </w:tcPr>
          <w:p w14:paraId="13DD3B21">
            <w:pPr>
              <w:tabs>
                <w:tab w:val="left" w:pos="4257"/>
                <w:tab w:val="left" w:pos="4258"/>
                <w:tab w:val="left" w:pos="4307"/>
              </w:tabs>
              <w:adjustRightInd w:val="0"/>
              <w:snapToGrid w:val="0"/>
              <w:rPr>
                <w:rFonts w:ascii="宋体"/>
                <w:szCs w:val="21"/>
              </w:rPr>
            </w:pPr>
          </w:p>
        </w:tc>
      </w:tr>
    </w:tbl>
    <w:p w14:paraId="52D7D352">
      <w:pPr>
        <w:adjustRightInd w:val="0"/>
        <w:snapToGrid w:val="0"/>
        <w:spacing w:before="156" w:beforeLines="50" w:after="156" w:afterLines="50" w:line="360" w:lineRule="exact"/>
        <w:ind w:left="420" w:leftChars="200"/>
        <w:rPr>
          <w:rFonts w:eastAsia="黑体"/>
          <w:sz w:val="22"/>
          <w:szCs w:val="22"/>
        </w:rPr>
      </w:pPr>
      <w:r>
        <w:rPr>
          <w:rFonts w:eastAsia="黑体"/>
          <w:sz w:val="22"/>
          <w:szCs w:val="22"/>
        </w:rPr>
        <w:t>2、产品信息</w:t>
      </w:r>
    </w:p>
    <w:tbl>
      <w:tblPr>
        <w:tblStyle w:val="37"/>
        <w:tblW w:w="0" w:type="auto"/>
        <w:tblInd w:w="97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984"/>
        <w:gridCol w:w="283"/>
        <w:gridCol w:w="3402"/>
      </w:tblGrid>
      <w:tr w14:paraId="1EFBE3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984" w:type="dxa"/>
            <w:vAlign w:val="bottom"/>
          </w:tcPr>
          <w:p w14:paraId="5923BDFC">
            <w:pPr>
              <w:adjustRightInd w:val="0"/>
              <w:snapToGrid w:val="0"/>
              <w:jc w:val="distribute"/>
              <w:rPr>
                <w:rFonts w:ascii="宋体"/>
                <w:szCs w:val="21"/>
              </w:rPr>
            </w:pPr>
            <w:r>
              <w:rPr>
                <w:rFonts w:ascii="宋体"/>
                <w:szCs w:val="21"/>
              </w:rPr>
              <w:t>产品名称</w:t>
            </w:r>
          </w:p>
        </w:tc>
        <w:tc>
          <w:tcPr>
            <w:tcW w:w="283" w:type="dxa"/>
            <w:vAlign w:val="bottom"/>
          </w:tcPr>
          <w:p w14:paraId="68D4D6F9">
            <w:pPr>
              <w:tabs>
                <w:tab w:val="left" w:pos="4258"/>
              </w:tabs>
              <w:adjustRightInd w:val="0"/>
              <w:snapToGrid w:val="0"/>
              <w:ind w:left="-210" w:leftChars="-100" w:right="-315" w:rightChars="-150"/>
              <w:jc w:val="center"/>
              <w:rPr>
                <w:rFonts w:ascii="宋体"/>
                <w:spacing w:val="-12"/>
                <w:szCs w:val="21"/>
              </w:rPr>
            </w:pPr>
            <w:r>
              <w:rPr>
                <w:rFonts w:hint="eastAsia" w:ascii="宋体"/>
                <w:szCs w:val="21"/>
              </w:rPr>
              <w:t>：</w:t>
            </w:r>
          </w:p>
        </w:tc>
        <w:tc>
          <w:tcPr>
            <w:tcW w:w="3402" w:type="dxa"/>
            <w:tcBorders>
              <w:bottom w:val="single" w:color="auto" w:sz="4" w:space="0"/>
            </w:tcBorders>
            <w:vAlign w:val="bottom"/>
          </w:tcPr>
          <w:p w14:paraId="37E27B2F">
            <w:pPr>
              <w:tabs>
                <w:tab w:val="left" w:pos="4258"/>
              </w:tabs>
              <w:adjustRightInd w:val="0"/>
              <w:snapToGrid w:val="0"/>
              <w:rPr>
                <w:rFonts w:ascii="宋体"/>
                <w:spacing w:val="-12"/>
                <w:szCs w:val="21"/>
              </w:rPr>
            </w:pPr>
          </w:p>
        </w:tc>
      </w:tr>
      <w:tr w14:paraId="53C0E2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984" w:type="dxa"/>
            <w:vAlign w:val="bottom"/>
          </w:tcPr>
          <w:p w14:paraId="49D93BC3">
            <w:pPr>
              <w:adjustRightInd w:val="0"/>
              <w:snapToGrid w:val="0"/>
              <w:jc w:val="distribute"/>
              <w:rPr>
                <w:rFonts w:ascii="宋体"/>
                <w:szCs w:val="21"/>
              </w:rPr>
            </w:pPr>
            <w:r>
              <w:rPr>
                <w:rFonts w:ascii="宋体"/>
                <w:szCs w:val="21"/>
              </w:rPr>
              <w:t>产品执行标准</w:t>
            </w:r>
          </w:p>
        </w:tc>
        <w:tc>
          <w:tcPr>
            <w:tcW w:w="283" w:type="dxa"/>
            <w:vAlign w:val="bottom"/>
          </w:tcPr>
          <w:p w14:paraId="63032DD0">
            <w:pPr>
              <w:tabs>
                <w:tab w:val="left" w:pos="4258"/>
              </w:tabs>
              <w:adjustRightInd w:val="0"/>
              <w:snapToGrid w:val="0"/>
              <w:ind w:left="-210" w:leftChars="-100" w:right="-315" w:rightChars="-150"/>
              <w:jc w:val="center"/>
              <w:rPr>
                <w:rFonts w:ascii="宋体"/>
                <w:szCs w:val="21"/>
                <w:u w:val="single"/>
              </w:rPr>
            </w:pPr>
            <w:r>
              <w:rPr>
                <w:rFonts w:hint="eastAsia" w:ascii="宋体"/>
                <w:szCs w:val="21"/>
              </w:rPr>
              <w:t>：</w:t>
            </w:r>
          </w:p>
        </w:tc>
        <w:tc>
          <w:tcPr>
            <w:tcW w:w="3402" w:type="dxa"/>
            <w:tcBorders>
              <w:top w:val="single" w:color="auto" w:sz="4" w:space="0"/>
              <w:bottom w:val="single" w:color="auto" w:sz="4" w:space="0"/>
            </w:tcBorders>
            <w:vAlign w:val="bottom"/>
          </w:tcPr>
          <w:p w14:paraId="657270DA">
            <w:pPr>
              <w:tabs>
                <w:tab w:val="left" w:pos="4258"/>
              </w:tabs>
              <w:adjustRightInd w:val="0"/>
              <w:snapToGrid w:val="0"/>
              <w:rPr>
                <w:rFonts w:ascii="宋体"/>
                <w:szCs w:val="21"/>
                <w:u w:val="single"/>
              </w:rPr>
            </w:pPr>
          </w:p>
        </w:tc>
      </w:tr>
      <w:tr w14:paraId="4043AC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984" w:type="dxa"/>
            <w:vAlign w:val="bottom"/>
          </w:tcPr>
          <w:p w14:paraId="2EBD30E2">
            <w:pPr>
              <w:adjustRightInd w:val="0"/>
              <w:snapToGrid w:val="0"/>
              <w:jc w:val="distribute"/>
              <w:rPr>
                <w:rFonts w:ascii="宋体"/>
                <w:szCs w:val="21"/>
              </w:rPr>
            </w:pPr>
            <w:r>
              <w:rPr>
                <w:rFonts w:ascii="宋体"/>
                <w:szCs w:val="21"/>
              </w:rPr>
              <w:t>产品功能</w:t>
            </w:r>
          </w:p>
        </w:tc>
        <w:tc>
          <w:tcPr>
            <w:tcW w:w="283" w:type="dxa"/>
            <w:vAlign w:val="bottom"/>
          </w:tcPr>
          <w:p w14:paraId="3CCF18D7">
            <w:pPr>
              <w:tabs>
                <w:tab w:val="left" w:pos="4258"/>
              </w:tabs>
              <w:adjustRightInd w:val="0"/>
              <w:snapToGrid w:val="0"/>
              <w:ind w:left="-210" w:leftChars="-100" w:right="-315" w:rightChars="-150"/>
              <w:jc w:val="center"/>
              <w:rPr>
                <w:rFonts w:ascii="宋体"/>
                <w:spacing w:val="-14"/>
                <w:szCs w:val="21"/>
              </w:rPr>
            </w:pPr>
            <w:r>
              <w:rPr>
                <w:rFonts w:hint="eastAsia" w:ascii="宋体"/>
                <w:szCs w:val="21"/>
              </w:rPr>
              <w:t>：</w:t>
            </w:r>
          </w:p>
        </w:tc>
        <w:tc>
          <w:tcPr>
            <w:tcW w:w="3402" w:type="dxa"/>
            <w:tcBorders>
              <w:top w:val="single" w:color="auto" w:sz="4" w:space="0"/>
              <w:bottom w:val="single" w:color="auto" w:sz="4" w:space="0"/>
            </w:tcBorders>
            <w:vAlign w:val="bottom"/>
          </w:tcPr>
          <w:p w14:paraId="6069BFC1">
            <w:pPr>
              <w:tabs>
                <w:tab w:val="left" w:pos="4258"/>
              </w:tabs>
              <w:adjustRightInd w:val="0"/>
              <w:snapToGrid w:val="0"/>
              <w:rPr>
                <w:rFonts w:ascii="宋体"/>
                <w:spacing w:val="-14"/>
                <w:szCs w:val="21"/>
              </w:rPr>
            </w:pPr>
          </w:p>
        </w:tc>
      </w:tr>
      <w:tr w14:paraId="31AA0F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984" w:type="dxa"/>
            <w:vAlign w:val="bottom"/>
          </w:tcPr>
          <w:p w14:paraId="45D28C00">
            <w:pPr>
              <w:adjustRightInd w:val="0"/>
              <w:snapToGrid w:val="0"/>
              <w:jc w:val="distribute"/>
              <w:rPr>
                <w:rFonts w:ascii="宋体"/>
                <w:szCs w:val="21"/>
              </w:rPr>
            </w:pPr>
            <w:r>
              <w:rPr>
                <w:rFonts w:ascii="宋体"/>
                <w:szCs w:val="21"/>
              </w:rPr>
              <w:t>主要性能指标</w:t>
            </w:r>
          </w:p>
        </w:tc>
        <w:tc>
          <w:tcPr>
            <w:tcW w:w="283" w:type="dxa"/>
            <w:vAlign w:val="bottom"/>
          </w:tcPr>
          <w:p w14:paraId="0A6B2A29">
            <w:pPr>
              <w:tabs>
                <w:tab w:val="left" w:pos="4258"/>
              </w:tabs>
              <w:adjustRightInd w:val="0"/>
              <w:snapToGrid w:val="0"/>
              <w:ind w:left="-210" w:leftChars="-100" w:right="-315" w:rightChars="-150"/>
              <w:jc w:val="center"/>
              <w:rPr>
                <w:rFonts w:ascii="宋体"/>
                <w:szCs w:val="21"/>
                <w:u w:val="single"/>
              </w:rPr>
            </w:pPr>
            <w:r>
              <w:rPr>
                <w:rFonts w:hint="eastAsia" w:ascii="宋体"/>
                <w:szCs w:val="21"/>
              </w:rPr>
              <w:t>：</w:t>
            </w:r>
          </w:p>
        </w:tc>
        <w:tc>
          <w:tcPr>
            <w:tcW w:w="3402" w:type="dxa"/>
            <w:tcBorders>
              <w:top w:val="single" w:color="auto" w:sz="4" w:space="0"/>
              <w:bottom w:val="single" w:color="auto" w:sz="4" w:space="0"/>
            </w:tcBorders>
            <w:vAlign w:val="bottom"/>
          </w:tcPr>
          <w:p w14:paraId="57972228">
            <w:pPr>
              <w:tabs>
                <w:tab w:val="left" w:pos="4258"/>
              </w:tabs>
              <w:adjustRightInd w:val="0"/>
              <w:snapToGrid w:val="0"/>
              <w:rPr>
                <w:rFonts w:ascii="宋体"/>
                <w:szCs w:val="21"/>
                <w:u w:val="single"/>
              </w:rPr>
            </w:pPr>
          </w:p>
        </w:tc>
      </w:tr>
      <w:tr w14:paraId="16ED28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984" w:type="dxa"/>
            <w:vAlign w:val="bottom"/>
          </w:tcPr>
          <w:p w14:paraId="334D70EA">
            <w:pPr>
              <w:adjustRightInd w:val="0"/>
              <w:snapToGrid w:val="0"/>
              <w:jc w:val="distribute"/>
              <w:rPr>
                <w:rFonts w:ascii="宋体"/>
                <w:szCs w:val="21"/>
              </w:rPr>
            </w:pPr>
            <w:r>
              <w:rPr>
                <w:rFonts w:ascii="宋体"/>
                <w:szCs w:val="21"/>
              </w:rPr>
              <w:t>产品介绍</w:t>
            </w:r>
          </w:p>
        </w:tc>
        <w:tc>
          <w:tcPr>
            <w:tcW w:w="283" w:type="dxa"/>
            <w:vAlign w:val="bottom"/>
          </w:tcPr>
          <w:p w14:paraId="58106064">
            <w:pPr>
              <w:tabs>
                <w:tab w:val="left" w:pos="4258"/>
              </w:tabs>
              <w:adjustRightInd w:val="0"/>
              <w:snapToGrid w:val="0"/>
              <w:ind w:left="-210" w:leftChars="-100" w:right="-315" w:rightChars="-150"/>
              <w:jc w:val="center"/>
              <w:rPr>
                <w:rFonts w:ascii="宋体"/>
                <w:spacing w:val="-12"/>
                <w:szCs w:val="21"/>
              </w:rPr>
            </w:pPr>
            <w:r>
              <w:rPr>
                <w:rFonts w:hint="eastAsia" w:ascii="宋体"/>
                <w:szCs w:val="21"/>
              </w:rPr>
              <w:t>：</w:t>
            </w:r>
          </w:p>
        </w:tc>
        <w:tc>
          <w:tcPr>
            <w:tcW w:w="3402" w:type="dxa"/>
            <w:tcBorders>
              <w:top w:val="single" w:color="auto" w:sz="4" w:space="0"/>
              <w:bottom w:val="single" w:color="auto" w:sz="4" w:space="0"/>
            </w:tcBorders>
            <w:vAlign w:val="bottom"/>
          </w:tcPr>
          <w:p w14:paraId="47C72470">
            <w:pPr>
              <w:tabs>
                <w:tab w:val="left" w:pos="4258"/>
              </w:tabs>
              <w:adjustRightInd w:val="0"/>
              <w:snapToGrid w:val="0"/>
              <w:rPr>
                <w:rFonts w:ascii="宋体"/>
                <w:spacing w:val="-12"/>
                <w:szCs w:val="21"/>
              </w:rPr>
            </w:pPr>
          </w:p>
        </w:tc>
      </w:tr>
      <w:tr w14:paraId="345DAC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984" w:type="dxa"/>
            <w:vAlign w:val="bottom"/>
          </w:tcPr>
          <w:p w14:paraId="55C85C13">
            <w:pPr>
              <w:adjustRightInd w:val="0"/>
              <w:snapToGrid w:val="0"/>
              <w:jc w:val="distribute"/>
              <w:rPr>
                <w:rFonts w:ascii="宋体"/>
                <w:szCs w:val="21"/>
              </w:rPr>
            </w:pPr>
            <w:r>
              <w:rPr>
                <w:rFonts w:ascii="宋体"/>
                <w:szCs w:val="21"/>
              </w:rPr>
              <w:t>产品图片</w:t>
            </w:r>
          </w:p>
        </w:tc>
        <w:tc>
          <w:tcPr>
            <w:tcW w:w="283" w:type="dxa"/>
            <w:vAlign w:val="bottom"/>
          </w:tcPr>
          <w:p w14:paraId="3CF5E670">
            <w:pPr>
              <w:tabs>
                <w:tab w:val="left" w:pos="4258"/>
              </w:tabs>
              <w:adjustRightInd w:val="0"/>
              <w:snapToGrid w:val="0"/>
              <w:ind w:left="-210" w:leftChars="-100" w:right="-315" w:rightChars="-150"/>
              <w:jc w:val="center"/>
              <w:rPr>
                <w:rFonts w:ascii="宋体"/>
                <w:spacing w:val="-17"/>
                <w:szCs w:val="21"/>
              </w:rPr>
            </w:pPr>
            <w:r>
              <w:rPr>
                <w:rFonts w:hint="eastAsia" w:ascii="宋体"/>
                <w:szCs w:val="21"/>
              </w:rPr>
              <w:t>：</w:t>
            </w:r>
          </w:p>
        </w:tc>
        <w:tc>
          <w:tcPr>
            <w:tcW w:w="3402" w:type="dxa"/>
            <w:tcBorders>
              <w:top w:val="single" w:color="auto" w:sz="4" w:space="0"/>
              <w:bottom w:val="single" w:color="auto" w:sz="4" w:space="0"/>
            </w:tcBorders>
            <w:vAlign w:val="bottom"/>
          </w:tcPr>
          <w:p w14:paraId="64FFF2BA">
            <w:pPr>
              <w:tabs>
                <w:tab w:val="left" w:pos="4258"/>
              </w:tabs>
              <w:adjustRightInd w:val="0"/>
              <w:snapToGrid w:val="0"/>
              <w:rPr>
                <w:rFonts w:ascii="宋体"/>
                <w:spacing w:val="-17"/>
                <w:szCs w:val="21"/>
              </w:rPr>
            </w:pPr>
          </w:p>
        </w:tc>
      </w:tr>
      <w:tr w14:paraId="2E1B2F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984" w:type="dxa"/>
            <w:vAlign w:val="bottom"/>
          </w:tcPr>
          <w:p w14:paraId="573AFBB6">
            <w:pPr>
              <w:adjustRightInd w:val="0"/>
              <w:snapToGrid w:val="0"/>
              <w:jc w:val="distribute"/>
              <w:rPr>
                <w:rFonts w:ascii="宋体"/>
                <w:szCs w:val="21"/>
              </w:rPr>
            </w:pPr>
            <w:r>
              <w:rPr>
                <w:rFonts w:ascii="宋体"/>
                <w:szCs w:val="21"/>
              </w:rPr>
              <w:t>生产工艺流程</w:t>
            </w:r>
          </w:p>
        </w:tc>
        <w:tc>
          <w:tcPr>
            <w:tcW w:w="283" w:type="dxa"/>
            <w:vAlign w:val="bottom"/>
          </w:tcPr>
          <w:p w14:paraId="381F24EC">
            <w:pPr>
              <w:tabs>
                <w:tab w:val="left" w:pos="4258"/>
              </w:tabs>
              <w:adjustRightInd w:val="0"/>
              <w:snapToGrid w:val="0"/>
              <w:ind w:left="-210" w:leftChars="-100" w:right="-315" w:rightChars="-150"/>
              <w:jc w:val="center"/>
              <w:rPr>
                <w:rFonts w:ascii="宋体"/>
                <w:szCs w:val="21"/>
                <w:u w:val="single"/>
              </w:rPr>
            </w:pPr>
            <w:r>
              <w:rPr>
                <w:rFonts w:hint="eastAsia" w:ascii="宋体"/>
                <w:szCs w:val="21"/>
              </w:rPr>
              <w:t>：</w:t>
            </w:r>
          </w:p>
        </w:tc>
        <w:tc>
          <w:tcPr>
            <w:tcW w:w="3402" w:type="dxa"/>
            <w:tcBorders>
              <w:top w:val="single" w:color="auto" w:sz="4" w:space="0"/>
              <w:bottom w:val="single" w:color="auto" w:sz="4" w:space="0"/>
            </w:tcBorders>
            <w:vAlign w:val="bottom"/>
          </w:tcPr>
          <w:p w14:paraId="62852485">
            <w:pPr>
              <w:tabs>
                <w:tab w:val="left" w:pos="4258"/>
              </w:tabs>
              <w:adjustRightInd w:val="0"/>
              <w:snapToGrid w:val="0"/>
              <w:rPr>
                <w:rFonts w:ascii="宋体"/>
                <w:szCs w:val="21"/>
                <w:u w:val="single"/>
              </w:rPr>
            </w:pPr>
          </w:p>
        </w:tc>
      </w:tr>
    </w:tbl>
    <w:p w14:paraId="6ACE7BA5">
      <w:pPr>
        <w:adjustRightInd w:val="0"/>
        <w:snapToGrid w:val="0"/>
        <w:spacing w:before="156" w:beforeLines="50" w:after="156" w:afterLines="50" w:line="360" w:lineRule="exact"/>
        <w:ind w:left="420" w:leftChars="200"/>
        <w:rPr>
          <w:rFonts w:eastAsia="黑体"/>
          <w:sz w:val="22"/>
          <w:szCs w:val="22"/>
        </w:rPr>
      </w:pPr>
      <w:r>
        <w:rPr>
          <w:rFonts w:eastAsia="黑体"/>
          <w:sz w:val="22"/>
          <w:szCs w:val="22"/>
        </w:rPr>
        <w:t>3、量化方法</w:t>
      </w:r>
    </w:p>
    <w:tbl>
      <w:tblPr>
        <w:tblStyle w:val="37"/>
        <w:tblW w:w="0" w:type="auto"/>
        <w:tblInd w:w="99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984"/>
        <w:gridCol w:w="283"/>
        <w:gridCol w:w="3402"/>
      </w:tblGrid>
      <w:tr w14:paraId="5BD847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984" w:type="dxa"/>
            <w:vAlign w:val="bottom"/>
          </w:tcPr>
          <w:p w14:paraId="51085BC8">
            <w:pPr>
              <w:adjustRightInd w:val="0"/>
              <w:snapToGrid w:val="0"/>
              <w:jc w:val="distribute"/>
              <w:rPr>
                <w:rFonts w:ascii="宋体"/>
                <w:szCs w:val="21"/>
              </w:rPr>
            </w:pPr>
            <w:r>
              <w:rPr>
                <w:rFonts w:ascii="宋体"/>
                <w:szCs w:val="21"/>
              </w:rPr>
              <w:t>依据标准</w:t>
            </w:r>
          </w:p>
        </w:tc>
        <w:tc>
          <w:tcPr>
            <w:tcW w:w="283" w:type="dxa"/>
            <w:vAlign w:val="bottom"/>
          </w:tcPr>
          <w:p w14:paraId="2BE9D4F6">
            <w:pPr>
              <w:tabs>
                <w:tab w:val="left" w:pos="4258"/>
              </w:tabs>
              <w:adjustRightInd w:val="0"/>
              <w:snapToGrid w:val="0"/>
              <w:ind w:left="-210" w:leftChars="-100" w:right="-315" w:rightChars="-150"/>
              <w:jc w:val="center"/>
              <w:rPr>
                <w:rFonts w:ascii="宋体"/>
                <w:spacing w:val="-12"/>
                <w:szCs w:val="21"/>
              </w:rPr>
            </w:pPr>
            <w:r>
              <w:rPr>
                <w:rFonts w:hint="eastAsia" w:ascii="宋体"/>
                <w:szCs w:val="21"/>
              </w:rPr>
              <w:t>：</w:t>
            </w:r>
          </w:p>
        </w:tc>
        <w:tc>
          <w:tcPr>
            <w:tcW w:w="3402" w:type="dxa"/>
            <w:tcBorders>
              <w:bottom w:val="single" w:color="auto" w:sz="4" w:space="0"/>
            </w:tcBorders>
            <w:vAlign w:val="bottom"/>
          </w:tcPr>
          <w:p w14:paraId="1502016E">
            <w:pPr>
              <w:tabs>
                <w:tab w:val="left" w:pos="4258"/>
              </w:tabs>
              <w:adjustRightInd w:val="0"/>
              <w:snapToGrid w:val="0"/>
              <w:rPr>
                <w:rFonts w:ascii="宋体"/>
                <w:spacing w:val="-12"/>
                <w:szCs w:val="21"/>
              </w:rPr>
            </w:pPr>
          </w:p>
        </w:tc>
      </w:tr>
    </w:tbl>
    <w:p w14:paraId="467BAA7D">
      <w:pPr>
        <w:adjustRightInd w:val="0"/>
        <w:snapToGrid w:val="0"/>
        <w:spacing w:before="156" w:beforeLines="50" w:after="156" w:afterLines="50" w:line="360" w:lineRule="exact"/>
        <w:ind w:left="420" w:leftChars="200"/>
        <w:rPr>
          <w:rFonts w:eastAsia="黑体"/>
          <w:spacing w:val="-17"/>
          <w:sz w:val="24"/>
        </w:rPr>
      </w:pPr>
      <w:r>
        <w:rPr>
          <w:rFonts w:eastAsia="黑体"/>
          <w:spacing w:val="-17"/>
          <w:sz w:val="24"/>
        </w:rPr>
        <w:t>二、量化目的</w:t>
      </w:r>
    </w:p>
    <w:tbl>
      <w:tblPr>
        <w:tblStyle w:val="37"/>
        <w:tblW w:w="0" w:type="auto"/>
        <w:tblInd w:w="9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69"/>
      </w:tblGrid>
      <w:tr w14:paraId="0D0DB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669" w:type="dxa"/>
            <w:tcBorders>
              <w:top w:val="nil"/>
              <w:left w:val="nil"/>
              <w:bottom w:val="single" w:color="auto" w:sz="4" w:space="0"/>
              <w:right w:val="nil"/>
            </w:tcBorders>
            <w:vAlign w:val="center"/>
          </w:tcPr>
          <w:p w14:paraId="1D150512">
            <w:pPr>
              <w:tabs>
                <w:tab w:val="left" w:pos="4258"/>
              </w:tabs>
              <w:adjustRightInd w:val="0"/>
              <w:snapToGrid w:val="0"/>
              <w:rPr>
                <w:rFonts w:ascii="宋体"/>
                <w:spacing w:val="-12"/>
                <w:szCs w:val="21"/>
              </w:rPr>
            </w:pPr>
          </w:p>
        </w:tc>
      </w:tr>
    </w:tbl>
    <w:p w14:paraId="531C8840">
      <w:pPr>
        <w:adjustRightInd w:val="0"/>
        <w:snapToGrid w:val="0"/>
        <w:spacing w:before="156" w:beforeLines="50" w:after="156" w:afterLines="50" w:line="360" w:lineRule="exact"/>
        <w:ind w:left="420" w:leftChars="200"/>
        <w:rPr>
          <w:rFonts w:eastAsia="黑体"/>
          <w:spacing w:val="-17"/>
          <w:sz w:val="24"/>
        </w:rPr>
      </w:pPr>
      <w:r>
        <w:rPr>
          <w:rFonts w:eastAsia="黑体"/>
          <w:spacing w:val="-17"/>
          <w:sz w:val="24"/>
        </w:rPr>
        <w:t>三、量化范围</w:t>
      </w:r>
    </w:p>
    <w:p w14:paraId="48BC0FA3">
      <w:pPr>
        <w:adjustRightInd w:val="0"/>
        <w:snapToGrid w:val="0"/>
        <w:spacing w:before="156" w:beforeLines="50" w:after="156" w:afterLines="50" w:line="360" w:lineRule="exact"/>
        <w:ind w:left="420" w:leftChars="200"/>
        <w:rPr>
          <w:rFonts w:eastAsia="黑体"/>
          <w:sz w:val="22"/>
          <w:szCs w:val="22"/>
        </w:rPr>
      </w:pPr>
      <w:bookmarkStart w:id="74" w:name="_Toc3639"/>
      <w:bookmarkStart w:id="75" w:name="_Toc32177"/>
      <w:bookmarkStart w:id="76" w:name="_Toc21082"/>
      <w:r>
        <w:rPr>
          <w:rFonts w:eastAsia="黑体"/>
          <w:sz w:val="22"/>
          <w:szCs w:val="22"/>
        </w:rPr>
        <w:t>1、功能单位</w:t>
      </w:r>
      <w:r>
        <w:rPr>
          <w:rFonts w:hint="eastAsia" w:eastAsia="黑体"/>
          <w:sz w:val="22"/>
          <w:szCs w:val="22"/>
        </w:rPr>
        <w:t>/</w:t>
      </w:r>
      <w:r>
        <w:rPr>
          <w:rFonts w:eastAsia="黑体"/>
          <w:sz w:val="22"/>
          <w:szCs w:val="22"/>
        </w:rPr>
        <w:t>声明单位</w:t>
      </w:r>
      <w:bookmarkEnd w:id="74"/>
      <w:bookmarkEnd w:id="75"/>
      <w:bookmarkEnd w:id="76"/>
    </w:p>
    <w:p w14:paraId="7F3A9EFC">
      <w:pPr>
        <w:adjustRightInd w:val="0"/>
        <w:snapToGrid w:val="0"/>
        <w:spacing w:line="360" w:lineRule="exact"/>
        <w:ind w:firstLine="912" w:firstLineChars="400"/>
        <w:rPr>
          <w:szCs w:val="21"/>
        </w:rPr>
      </w:pPr>
      <w:r>
        <w:rPr>
          <w:spacing w:val="9"/>
          <w:szCs w:val="21"/>
        </w:rPr>
        <w:t>以</w:t>
      </w:r>
      <w:r>
        <w:rPr>
          <w:spacing w:val="1"/>
          <w:szCs w:val="21"/>
          <w:u w:val="single"/>
        </w:rPr>
        <w:t xml:space="preserve">             </w:t>
      </w:r>
      <w:r>
        <w:rPr>
          <w:spacing w:val="9"/>
          <w:szCs w:val="21"/>
        </w:rPr>
        <w:t xml:space="preserve"> 为功能单位</w:t>
      </w:r>
      <w:r>
        <w:rPr>
          <w:rFonts w:hint="eastAsia"/>
          <w:spacing w:val="9"/>
          <w:szCs w:val="21"/>
        </w:rPr>
        <w:t>/</w:t>
      </w:r>
      <w:r>
        <w:rPr>
          <w:spacing w:val="9"/>
          <w:szCs w:val="21"/>
        </w:rPr>
        <w:t>声明单位。</w:t>
      </w:r>
    </w:p>
    <w:p w14:paraId="6C14C0D0">
      <w:pPr>
        <w:adjustRightInd w:val="0"/>
        <w:snapToGrid w:val="0"/>
        <w:spacing w:before="156" w:beforeLines="50" w:after="156" w:afterLines="50" w:line="360" w:lineRule="exact"/>
        <w:ind w:left="420" w:leftChars="200"/>
        <w:rPr>
          <w:rFonts w:eastAsia="黑体"/>
          <w:sz w:val="22"/>
          <w:szCs w:val="22"/>
        </w:rPr>
      </w:pPr>
      <w:bookmarkStart w:id="77" w:name="_Toc7808"/>
      <w:bookmarkStart w:id="78" w:name="_Toc31403"/>
      <w:bookmarkStart w:id="79" w:name="_Toc8183"/>
      <w:r>
        <w:rPr>
          <w:rFonts w:eastAsia="黑体"/>
          <w:sz w:val="22"/>
          <w:szCs w:val="22"/>
        </w:rPr>
        <w:t>2、系统边界</w:t>
      </w:r>
      <w:bookmarkEnd w:id="77"/>
      <w:bookmarkEnd w:id="78"/>
      <w:bookmarkEnd w:id="79"/>
    </w:p>
    <w:p w14:paraId="69D821F1">
      <w:pPr>
        <w:adjustRightInd w:val="0"/>
        <w:snapToGrid w:val="0"/>
        <w:spacing w:line="360" w:lineRule="exact"/>
        <w:ind w:left="420" w:leftChars="200" w:right="420" w:rightChars="200" w:firstLine="456" w:firstLineChars="200"/>
        <w:rPr>
          <w:rFonts w:eastAsia="黑体"/>
          <w:spacing w:val="3"/>
          <w:szCs w:val="21"/>
        </w:rPr>
      </w:pPr>
      <w:r>
        <w:rPr>
          <w:spacing w:val="9"/>
          <w:szCs w:val="21"/>
        </w:rPr>
        <w:t>将系统边界界定为</w:t>
      </w:r>
      <w:r>
        <w:rPr>
          <w:rFonts w:hint="eastAsia" w:ascii="楷体" w:hAnsi="楷体" w:eastAsia="楷体" w:cs="宋体"/>
          <w:sz w:val="24"/>
          <w:szCs w:val="24"/>
          <w:highlight w:val="none"/>
        </w:rPr>
        <w:sym w:font="Wingdings" w:char="00A8"/>
      </w:r>
      <w:r>
        <w:rPr>
          <w:spacing w:val="9"/>
          <w:szCs w:val="21"/>
        </w:rPr>
        <w:t>原料获取阶段</w:t>
      </w:r>
      <w:r>
        <w:rPr>
          <w:rFonts w:hint="eastAsia" w:ascii="楷体" w:hAnsi="楷体" w:eastAsia="楷体" w:cs="宋体"/>
          <w:sz w:val="24"/>
          <w:szCs w:val="24"/>
          <w:highlight w:val="none"/>
        </w:rPr>
        <w:sym w:font="Wingdings" w:char="00A8"/>
      </w:r>
      <w:r>
        <w:rPr>
          <w:spacing w:val="9"/>
          <w:szCs w:val="21"/>
        </w:rPr>
        <w:t>产品生产阶段</w:t>
      </w:r>
      <w:r>
        <w:rPr>
          <w:rFonts w:hint="eastAsia" w:ascii="楷体" w:hAnsi="楷体" w:eastAsia="楷体" w:cs="宋体"/>
          <w:sz w:val="24"/>
          <w:szCs w:val="24"/>
          <w:highlight w:val="none"/>
        </w:rPr>
        <w:sym w:font="Wingdings" w:char="00A8"/>
      </w:r>
      <w:r>
        <w:rPr>
          <w:spacing w:val="9"/>
          <w:szCs w:val="21"/>
        </w:rPr>
        <w:t>产品分销阶段</w:t>
      </w:r>
      <w:r>
        <w:rPr>
          <w:rFonts w:hint="eastAsia" w:ascii="楷体" w:hAnsi="楷体" w:eastAsia="楷体" w:cs="宋体"/>
          <w:sz w:val="24"/>
          <w:szCs w:val="24"/>
          <w:highlight w:val="none"/>
        </w:rPr>
        <w:sym w:font="Wingdings" w:char="00A8"/>
      </w:r>
      <w:r>
        <w:rPr>
          <w:spacing w:val="9"/>
          <w:szCs w:val="21"/>
        </w:rPr>
        <w:t>安装和使用阶段</w:t>
      </w:r>
      <w:r>
        <w:rPr>
          <w:rFonts w:hint="eastAsia" w:ascii="楷体" w:hAnsi="楷体" w:eastAsia="楷体" w:cs="宋体"/>
          <w:sz w:val="24"/>
          <w:szCs w:val="24"/>
          <w:highlight w:val="none"/>
        </w:rPr>
        <w:sym w:font="Wingdings" w:char="00A8"/>
      </w:r>
      <w:r>
        <w:rPr>
          <w:spacing w:val="9"/>
          <w:szCs w:val="21"/>
        </w:rPr>
        <w:t>生命末期。</w:t>
      </w:r>
    </w:p>
    <w:p w14:paraId="5989519B">
      <w:pPr>
        <w:adjustRightInd w:val="0"/>
        <w:snapToGrid w:val="0"/>
        <w:spacing w:line="360" w:lineRule="exact"/>
        <w:jc w:val="center"/>
        <w:rPr>
          <w:rFonts w:eastAsia="黑体"/>
          <w:spacing w:val="3"/>
          <w:szCs w:val="21"/>
        </w:rPr>
      </w:pPr>
    </w:p>
    <w:p w14:paraId="22B2D0AD">
      <w:pPr>
        <w:widowControl/>
        <w:tabs>
          <w:tab w:val="left" w:pos="0"/>
        </w:tabs>
        <w:adjustRightInd w:val="0"/>
        <w:snapToGrid w:val="0"/>
        <w:spacing w:line="360" w:lineRule="exact"/>
        <w:jc w:val="center"/>
        <w:rPr>
          <w:rFonts w:eastAsia="黑体"/>
          <w:kern w:val="0"/>
          <w:szCs w:val="20"/>
        </w:rPr>
      </w:pPr>
      <w:r>
        <w:rPr>
          <w:rFonts w:eastAsia="黑体"/>
          <w:kern w:val="0"/>
          <w:szCs w:val="20"/>
        </w:rPr>
        <w:t>图1  XX产品碳足迹量化系统边界图</w:t>
      </w:r>
    </w:p>
    <w:p w14:paraId="5D99B335">
      <w:pPr>
        <w:adjustRightInd w:val="0"/>
        <w:snapToGrid w:val="0"/>
        <w:spacing w:before="156" w:beforeLines="50" w:after="156" w:afterLines="50" w:line="360" w:lineRule="exact"/>
        <w:ind w:left="420" w:leftChars="200"/>
        <w:rPr>
          <w:rFonts w:eastAsia="黑体"/>
          <w:sz w:val="22"/>
          <w:szCs w:val="22"/>
        </w:rPr>
      </w:pPr>
      <w:r>
        <w:rPr>
          <w:rFonts w:eastAsia="黑体"/>
          <w:sz w:val="22"/>
          <w:szCs w:val="22"/>
        </w:rPr>
        <mc:AlternateContent>
          <mc:Choice Requires="wps">
            <w:drawing>
              <wp:anchor distT="0" distB="0" distL="114300" distR="114300" simplePos="0" relativeHeight="251674624" behindDoc="1" locked="0" layoutInCell="1" allowOverlap="1">
                <wp:simplePos x="0" y="0"/>
                <wp:positionH relativeFrom="column">
                  <wp:posOffset>5080</wp:posOffset>
                </wp:positionH>
                <wp:positionV relativeFrom="paragraph">
                  <wp:posOffset>-26670</wp:posOffset>
                </wp:positionV>
                <wp:extent cx="6119495" cy="9180195"/>
                <wp:effectExtent l="4445" t="4445" r="17780" b="5080"/>
                <wp:wrapNone/>
                <wp:docPr id="9" name="矩形 9"/>
                <wp:cNvGraphicFramePr/>
                <a:graphic xmlns:a="http://schemas.openxmlformats.org/drawingml/2006/main">
                  <a:graphicData uri="http://schemas.microsoft.com/office/word/2010/wordprocessingShape">
                    <wps:wsp>
                      <wps:cNvSpPr/>
                      <wps:spPr>
                        <a:xfrm>
                          <a:off x="0" y="0"/>
                          <a:ext cx="6119495" cy="9180000"/>
                        </a:xfrm>
                        <a:prstGeom prst="rect">
                          <a:avLst/>
                        </a:prstGeom>
                        <a:no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0.4pt;margin-top:-2.1pt;height:722.85pt;width:481.85pt;z-index:-251641856;v-text-anchor:middle;mso-width-relative:page;mso-height-relative:page;" filled="f" stroked="t" coordsize="21600,21600" o:gfxdata="UEsDBAoAAAAAAIdO4kAAAAAAAAAAAAAAAAAEAAAAZHJzL1BLAwQUAAAACACHTuJAzi3W5tcAAAAI&#10;AQAADwAAAGRycy9kb3ducmV2LnhtbE2PwU7DMBBE70j8g7WVuLV2Kie0IU6FkLj0AKJF4urGbhw1&#10;Xkex05S/ZznBcTWjN2+r3c337GrH2AVUkK0EMItNMB22Cj6Pr8sNsJg0Gt0HtAq+bYRdfX9X6dKE&#10;GT/s9ZBaRhCMpVbgUhpKzmPjrNdxFQaLlJ3D6HWic2y5GfVMcN/ztRAF97pDWnB6sC/ONpfD5BVs&#10;to9TLs96cl/v8/4NXfHciL1SD4tMPAFL9pb+yvCrT+pQk9MpTGgi64lBPQVLuQZG6baQObAT1aTM&#10;cuB1xf8/UP8AUEsDBBQAAAAIAIdO4kCQLk8bbgIAANYEAAAOAAAAZHJzL2Uyb0RvYy54bWytVEtu&#10;2zAQ3RfoHQjuG1mp87EROTBipCgQNAaSomuaIi0B/JWkLbuXKdBdD9HjFL1GHyklTtMusqgW1Axn&#10;+Djz+MiLy51WZCt8aK2paHk0okQYbuvWrCv68f76zTklITJTM2WNqOheBHo5e/3qonNTcWwbq2rh&#10;CUBMmHauok2MbloUgTdCs3BknTAISus1i3D9uqg964CuVXE8Gp0WnfW185aLEDC76IN0QPQvAbRS&#10;tlwsLN9oYWKP6oViES2FpnWBznK1Ugoeb6UMIhJVUXQa84hNYK/SWMwu2HTtmWtaPpTAXlLCs540&#10;aw02fYRasMjIxrd/QemWexusjEfc6qJvJDOCLsrRM27uGuZE7gVUB/dIevh/sPzDdulJW1d0Qolh&#10;Ggf+6+v3nz++kUnipnNhipQ7t/SDF2CmRnfS6/RHC2SX+dw/8il2kXBMnpblZDw5oYQjNinPR/gS&#10;anFY7nyI74TVJBkV9TiwzCPb3oTYpz6kpN2MvW6VwjybKkO6ir4tzxI+gxAlBABTOzQTzJoSptZQ&#10;OI8+Iwar2jqtTovDPlwpT7YMsoA2a9vdo2hKFAsRAXSSv6HYP5amchYsNP3iHBrSlEnQIqtuqD7x&#10;1zOWrJWt92Db216GwfHrFmg32HTJPHQHVeJmxlsMUlm0ZweLksb6L/+aT/mQA6KUdNAxev+8YV6g&#10;l/cGQpmU43ESfnbGJ2fHcPzTyOppxGz0lQUnJd4Ax7OZ8qN6MKW3+hMu8DztihAzHHv3LA/OVezv&#10;F54ALubznAaxOxZvzJ3jCbw/yvkmWtnmUz6wA3UkB3LPOhmuZrpPT/2cdXiOZ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zi3W5tcAAAAIAQAADwAAAAAAAAABACAAAAAiAAAAZHJzL2Rvd25yZXYu&#10;eG1sUEsBAhQAFAAAAAgAh07iQJAuTxtuAgAA1gQAAA4AAAAAAAAAAQAgAAAAJgEAAGRycy9lMm9E&#10;b2MueG1sUEsFBgAAAAAGAAYAWQEAAAYGAAAAAA==&#10;">
                <v:fill on="f" focussize="0,0"/>
                <v:stroke weight="0.25pt" color="#000000" joinstyle="round"/>
                <v:imagedata o:title=""/>
                <o:lock v:ext="edit" aspectratio="f"/>
              </v:rect>
            </w:pict>
          </mc:Fallback>
        </mc:AlternateContent>
      </w:r>
      <w:bookmarkStart w:id="80" w:name="_Toc24235"/>
      <w:bookmarkStart w:id="81" w:name="_Toc30938"/>
      <w:bookmarkStart w:id="82" w:name="_Toc26092"/>
      <w:r>
        <w:rPr>
          <w:rFonts w:eastAsia="黑体"/>
          <w:sz w:val="22"/>
          <w:szCs w:val="22"/>
        </w:rPr>
        <w:t>3、取舍准则</w:t>
      </w:r>
      <w:bookmarkEnd w:id="80"/>
      <w:bookmarkEnd w:id="81"/>
      <w:bookmarkEnd w:id="82"/>
    </w:p>
    <w:p w14:paraId="2976F4B5">
      <w:pPr>
        <w:adjustRightInd w:val="0"/>
        <w:snapToGrid w:val="0"/>
        <w:spacing w:line="360" w:lineRule="exact"/>
        <w:ind w:firstLine="912" w:firstLineChars="400"/>
        <w:rPr>
          <w:spacing w:val="9"/>
          <w:szCs w:val="21"/>
        </w:rPr>
      </w:pPr>
      <w:r>
        <w:rPr>
          <w:spacing w:val="9"/>
          <w:szCs w:val="21"/>
        </w:rPr>
        <w:t>采用的取舍准则以</w:t>
      </w:r>
      <w:r>
        <w:rPr>
          <w:spacing w:val="9"/>
          <w:szCs w:val="21"/>
          <w:u w:val="single"/>
        </w:rPr>
        <w:t xml:space="preserve">                         </w:t>
      </w:r>
      <w:r>
        <w:rPr>
          <w:spacing w:val="9"/>
          <w:szCs w:val="21"/>
        </w:rPr>
        <w:t>为依据，具体规则如下：</w:t>
      </w:r>
    </w:p>
    <w:p w14:paraId="4250A70A">
      <w:pPr>
        <w:adjustRightInd w:val="0"/>
        <w:snapToGrid w:val="0"/>
        <w:spacing w:before="156" w:beforeLines="50" w:after="156" w:afterLines="50" w:line="360" w:lineRule="exact"/>
        <w:ind w:left="420" w:leftChars="200"/>
        <w:rPr>
          <w:rFonts w:eastAsia="黑体"/>
          <w:sz w:val="22"/>
          <w:szCs w:val="22"/>
        </w:rPr>
      </w:pPr>
      <w:bookmarkStart w:id="83" w:name="_Toc13156"/>
      <w:bookmarkStart w:id="84" w:name="_Toc29049"/>
      <w:bookmarkStart w:id="85" w:name="_Toc28011"/>
      <w:r>
        <w:rPr>
          <w:rFonts w:eastAsia="黑体"/>
          <w:sz w:val="22"/>
          <w:szCs w:val="22"/>
        </w:rPr>
        <w:t>4、时间范围</w:t>
      </w:r>
      <w:bookmarkEnd w:id="83"/>
      <w:bookmarkEnd w:id="84"/>
      <w:bookmarkEnd w:id="85"/>
    </w:p>
    <w:p w14:paraId="1FF953ED">
      <w:pPr>
        <w:adjustRightInd w:val="0"/>
        <w:snapToGrid w:val="0"/>
        <w:spacing w:line="360" w:lineRule="exact"/>
        <w:ind w:firstLine="912" w:firstLineChars="400"/>
        <w:rPr>
          <w:spacing w:val="9"/>
          <w:szCs w:val="21"/>
        </w:rPr>
      </w:pPr>
      <w:r>
        <w:rPr>
          <w:spacing w:val="9"/>
          <w:szCs w:val="21"/>
          <w:u w:val="single"/>
        </w:rPr>
        <w:t xml:space="preserve">       </w:t>
      </w:r>
      <w:r>
        <w:rPr>
          <w:spacing w:val="9"/>
          <w:szCs w:val="21"/>
        </w:rPr>
        <w:t>年度。</w:t>
      </w:r>
    </w:p>
    <w:p w14:paraId="78F6FEF3">
      <w:pPr>
        <w:adjustRightInd w:val="0"/>
        <w:snapToGrid w:val="0"/>
        <w:spacing w:before="156" w:beforeLines="50" w:after="156" w:afterLines="50" w:line="360" w:lineRule="exact"/>
        <w:ind w:left="420" w:leftChars="200"/>
        <w:rPr>
          <w:rFonts w:eastAsia="黑体"/>
          <w:spacing w:val="-17"/>
          <w:sz w:val="24"/>
        </w:rPr>
      </w:pPr>
      <w:bookmarkStart w:id="86" w:name="_Toc14613"/>
      <w:bookmarkStart w:id="87" w:name="_Toc5899"/>
      <w:bookmarkStart w:id="88" w:name="_Toc31913"/>
      <w:r>
        <w:rPr>
          <w:rFonts w:eastAsia="黑体"/>
          <w:spacing w:val="-17"/>
          <w:sz w:val="24"/>
        </w:rPr>
        <w:t>四、清单分析</w:t>
      </w:r>
      <w:bookmarkEnd w:id="86"/>
      <w:bookmarkEnd w:id="87"/>
      <w:bookmarkEnd w:id="88"/>
    </w:p>
    <w:p w14:paraId="082D4CFD">
      <w:pPr>
        <w:adjustRightInd w:val="0"/>
        <w:snapToGrid w:val="0"/>
        <w:spacing w:before="156" w:beforeLines="50" w:after="156" w:afterLines="50" w:line="360" w:lineRule="exact"/>
        <w:ind w:left="420" w:leftChars="200"/>
        <w:rPr>
          <w:rFonts w:eastAsia="黑体"/>
          <w:sz w:val="22"/>
          <w:szCs w:val="22"/>
        </w:rPr>
      </w:pPr>
      <w:r>
        <w:rPr>
          <w:rFonts w:eastAsia="黑体"/>
          <w:sz w:val="22"/>
          <w:szCs w:val="22"/>
        </w:rPr>
        <w:t>1、数据来源说明</w:t>
      </w:r>
    </w:p>
    <w:tbl>
      <w:tblPr>
        <w:tblStyle w:val="37"/>
        <w:tblW w:w="0" w:type="auto"/>
        <w:tblInd w:w="104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984"/>
        <w:gridCol w:w="283"/>
        <w:gridCol w:w="3402"/>
      </w:tblGrid>
      <w:tr w14:paraId="162129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984" w:type="dxa"/>
            <w:vAlign w:val="bottom"/>
          </w:tcPr>
          <w:p w14:paraId="71D45B6C">
            <w:pPr>
              <w:adjustRightInd w:val="0"/>
              <w:snapToGrid w:val="0"/>
              <w:jc w:val="distribute"/>
              <w:rPr>
                <w:rFonts w:ascii="Times New Roman" w:eastAsiaTheme="majorEastAsia"/>
                <w:szCs w:val="21"/>
              </w:rPr>
            </w:pPr>
            <w:r>
              <w:rPr>
                <w:rFonts w:ascii="Times New Roman" w:eastAsiaTheme="majorEastAsia"/>
                <w:szCs w:val="21"/>
              </w:rPr>
              <w:t>初级数据</w:t>
            </w:r>
          </w:p>
        </w:tc>
        <w:tc>
          <w:tcPr>
            <w:tcW w:w="283" w:type="dxa"/>
            <w:vAlign w:val="bottom"/>
          </w:tcPr>
          <w:p w14:paraId="07165416">
            <w:pPr>
              <w:tabs>
                <w:tab w:val="left" w:pos="4258"/>
              </w:tabs>
              <w:adjustRightInd w:val="0"/>
              <w:snapToGrid w:val="0"/>
              <w:ind w:left="-210" w:leftChars="-100" w:right="-315" w:rightChars="-150"/>
              <w:jc w:val="center"/>
              <w:rPr>
                <w:rFonts w:ascii="Times New Roman" w:eastAsiaTheme="majorEastAsia"/>
                <w:spacing w:val="-12"/>
                <w:szCs w:val="21"/>
              </w:rPr>
            </w:pPr>
            <w:r>
              <w:rPr>
                <w:rFonts w:hint="eastAsia" w:ascii="宋体"/>
                <w:szCs w:val="21"/>
              </w:rPr>
              <w:t>：</w:t>
            </w:r>
          </w:p>
        </w:tc>
        <w:tc>
          <w:tcPr>
            <w:tcW w:w="3402" w:type="dxa"/>
            <w:tcBorders>
              <w:bottom w:val="single" w:color="auto" w:sz="4" w:space="0"/>
            </w:tcBorders>
            <w:vAlign w:val="bottom"/>
          </w:tcPr>
          <w:p w14:paraId="51DBCCB9">
            <w:pPr>
              <w:tabs>
                <w:tab w:val="left" w:pos="4258"/>
              </w:tabs>
              <w:adjustRightInd w:val="0"/>
              <w:snapToGrid w:val="0"/>
              <w:rPr>
                <w:rFonts w:ascii="Times New Roman" w:eastAsiaTheme="majorEastAsia"/>
                <w:spacing w:val="-12"/>
                <w:szCs w:val="21"/>
              </w:rPr>
            </w:pPr>
          </w:p>
        </w:tc>
      </w:tr>
      <w:tr w14:paraId="70A9AF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984" w:type="dxa"/>
            <w:vAlign w:val="bottom"/>
          </w:tcPr>
          <w:p w14:paraId="5FE29815">
            <w:pPr>
              <w:adjustRightInd w:val="0"/>
              <w:snapToGrid w:val="0"/>
              <w:jc w:val="distribute"/>
              <w:rPr>
                <w:rFonts w:ascii="Times New Roman" w:eastAsiaTheme="majorEastAsia"/>
                <w:szCs w:val="21"/>
              </w:rPr>
            </w:pPr>
            <w:r>
              <w:rPr>
                <w:rFonts w:ascii="Times New Roman" w:eastAsiaTheme="majorEastAsia"/>
                <w:spacing w:val="-14"/>
                <w:szCs w:val="21"/>
              </w:rPr>
              <w:t>次级数据</w:t>
            </w:r>
          </w:p>
        </w:tc>
        <w:tc>
          <w:tcPr>
            <w:tcW w:w="283" w:type="dxa"/>
            <w:vAlign w:val="bottom"/>
          </w:tcPr>
          <w:p w14:paraId="61CEEA87">
            <w:pPr>
              <w:tabs>
                <w:tab w:val="left" w:pos="4258"/>
              </w:tabs>
              <w:adjustRightInd w:val="0"/>
              <w:snapToGrid w:val="0"/>
              <w:ind w:left="-210" w:leftChars="-100" w:right="-315" w:rightChars="-150"/>
              <w:jc w:val="center"/>
              <w:rPr>
                <w:rFonts w:ascii="Times New Roman" w:eastAsiaTheme="majorEastAsia"/>
                <w:szCs w:val="21"/>
              </w:rPr>
            </w:pPr>
            <w:r>
              <w:rPr>
                <w:rFonts w:hint="eastAsia" w:ascii="宋体"/>
                <w:szCs w:val="21"/>
              </w:rPr>
              <w:t>：</w:t>
            </w:r>
          </w:p>
        </w:tc>
        <w:tc>
          <w:tcPr>
            <w:tcW w:w="3402" w:type="dxa"/>
            <w:tcBorders>
              <w:top w:val="single" w:color="auto" w:sz="4" w:space="0"/>
              <w:bottom w:val="single" w:color="auto" w:sz="4" w:space="0"/>
            </w:tcBorders>
            <w:vAlign w:val="bottom"/>
          </w:tcPr>
          <w:p w14:paraId="099248AD">
            <w:pPr>
              <w:tabs>
                <w:tab w:val="left" w:pos="4258"/>
              </w:tabs>
              <w:adjustRightInd w:val="0"/>
              <w:snapToGrid w:val="0"/>
              <w:rPr>
                <w:rFonts w:ascii="Times New Roman" w:eastAsiaTheme="majorEastAsia"/>
                <w:szCs w:val="21"/>
                <w:u w:val="single"/>
              </w:rPr>
            </w:pPr>
          </w:p>
        </w:tc>
      </w:tr>
    </w:tbl>
    <w:p w14:paraId="79129413">
      <w:pPr>
        <w:adjustRightInd w:val="0"/>
        <w:snapToGrid w:val="0"/>
        <w:spacing w:before="156" w:beforeLines="50" w:after="156" w:afterLines="50" w:line="360" w:lineRule="exact"/>
        <w:ind w:left="420" w:leftChars="200"/>
        <w:rPr>
          <w:rFonts w:eastAsia="黑体"/>
          <w:sz w:val="22"/>
          <w:szCs w:val="22"/>
        </w:rPr>
      </w:pPr>
      <w:r>
        <w:rPr>
          <w:rFonts w:eastAsia="黑体"/>
          <w:sz w:val="22"/>
          <w:szCs w:val="22"/>
        </w:rPr>
        <w:t>2、分配原则与程序</w:t>
      </w:r>
    </w:p>
    <w:tbl>
      <w:tblPr>
        <w:tblStyle w:val="37"/>
        <w:tblW w:w="0" w:type="auto"/>
        <w:tblInd w:w="106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984"/>
        <w:gridCol w:w="283"/>
        <w:gridCol w:w="3402"/>
      </w:tblGrid>
      <w:tr w14:paraId="55DF28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984" w:type="dxa"/>
            <w:vAlign w:val="bottom"/>
          </w:tcPr>
          <w:p w14:paraId="072D326B">
            <w:pPr>
              <w:adjustRightInd w:val="0"/>
              <w:snapToGrid w:val="0"/>
              <w:jc w:val="distribute"/>
              <w:rPr>
                <w:rFonts w:ascii="宋体"/>
                <w:szCs w:val="21"/>
              </w:rPr>
            </w:pPr>
            <w:r>
              <w:rPr>
                <w:rFonts w:ascii="宋体"/>
                <w:szCs w:val="21"/>
              </w:rPr>
              <w:t>分配依据</w:t>
            </w:r>
          </w:p>
        </w:tc>
        <w:tc>
          <w:tcPr>
            <w:tcW w:w="283" w:type="dxa"/>
            <w:vAlign w:val="bottom"/>
          </w:tcPr>
          <w:p w14:paraId="4A9F1F1E">
            <w:pPr>
              <w:tabs>
                <w:tab w:val="left" w:pos="4258"/>
              </w:tabs>
              <w:adjustRightInd w:val="0"/>
              <w:snapToGrid w:val="0"/>
              <w:ind w:left="-210" w:leftChars="-100" w:right="-315" w:rightChars="-150"/>
              <w:jc w:val="center"/>
              <w:rPr>
                <w:rFonts w:ascii="宋体"/>
                <w:spacing w:val="-12"/>
                <w:szCs w:val="21"/>
              </w:rPr>
            </w:pPr>
            <w:r>
              <w:rPr>
                <w:rFonts w:hint="eastAsia" w:ascii="宋体"/>
                <w:szCs w:val="21"/>
              </w:rPr>
              <w:t>：</w:t>
            </w:r>
          </w:p>
        </w:tc>
        <w:tc>
          <w:tcPr>
            <w:tcW w:w="3402" w:type="dxa"/>
            <w:tcBorders>
              <w:bottom w:val="single" w:color="auto" w:sz="4" w:space="0"/>
            </w:tcBorders>
            <w:vAlign w:val="bottom"/>
          </w:tcPr>
          <w:p w14:paraId="4BC28F46">
            <w:pPr>
              <w:tabs>
                <w:tab w:val="left" w:pos="4258"/>
              </w:tabs>
              <w:adjustRightInd w:val="0"/>
              <w:snapToGrid w:val="0"/>
              <w:rPr>
                <w:rFonts w:ascii="宋体"/>
                <w:spacing w:val="-12"/>
                <w:szCs w:val="21"/>
              </w:rPr>
            </w:pPr>
          </w:p>
        </w:tc>
      </w:tr>
      <w:tr w14:paraId="6CC755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984" w:type="dxa"/>
            <w:vAlign w:val="bottom"/>
          </w:tcPr>
          <w:p w14:paraId="2D1C0C4C">
            <w:pPr>
              <w:adjustRightInd w:val="0"/>
              <w:snapToGrid w:val="0"/>
              <w:jc w:val="distribute"/>
              <w:rPr>
                <w:rFonts w:ascii="宋体"/>
                <w:szCs w:val="21"/>
              </w:rPr>
            </w:pPr>
            <w:r>
              <w:rPr>
                <w:rFonts w:ascii="宋体"/>
                <w:spacing w:val="-14"/>
                <w:szCs w:val="21"/>
              </w:rPr>
              <w:t>分配程序</w:t>
            </w:r>
          </w:p>
        </w:tc>
        <w:tc>
          <w:tcPr>
            <w:tcW w:w="283" w:type="dxa"/>
            <w:vAlign w:val="bottom"/>
          </w:tcPr>
          <w:p w14:paraId="05244549">
            <w:pPr>
              <w:tabs>
                <w:tab w:val="left" w:pos="4258"/>
              </w:tabs>
              <w:adjustRightInd w:val="0"/>
              <w:snapToGrid w:val="0"/>
              <w:ind w:left="-210" w:leftChars="-100" w:right="-315" w:rightChars="-150"/>
              <w:jc w:val="center"/>
              <w:rPr>
                <w:rFonts w:ascii="宋体"/>
                <w:szCs w:val="21"/>
                <w:u w:val="single"/>
              </w:rPr>
            </w:pPr>
            <w:r>
              <w:rPr>
                <w:rFonts w:hint="eastAsia" w:ascii="宋体"/>
                <w:szCs w:val="21"/>
              </w:rPr>
              <w:t>：</w:t>
            </w:r>
          </w:p>
        </w:tc>
        <w:tc>
          <w:tcPr>
            <w:tcW w:w="3402" w:type="dxa"/>
            <w:tcBorders>
              <w:top w:val="single" w:color="auto" w:sz="4" w:space="0"/>
              <w:bottom w:val="single" w:color="auto" w:sz="4" w:space="0"/>
            </w:tcBorders>
            <w:vAlign w:val="bottom"/>
          </w:tcPr>
          <w:p w14:paraId="1C6A30D9">
            <w:pPr>
              <w:tabs>
                <w:tab w:val="left" w:pos="4258"/>
              </w:tabs>
              <w:adjustRightInd w:val="0"/>
              <w:snapToGrid w:val="0"/>
              <w:rPr>
                <w:rFonts w:ascii="宋体"/>
                <w:szCs w:val="21"/>
                <w:u w:val="single"/>
              </w:rPr>
            </w:pPr>
          </w:p>
        </w:tc>
      </w:tr>
    </w:tbl>
    <w:p w14:paraId="2CB45115">
      <w:pPr>
        <w:adjustRightInd w:val="0"/>
        <w:snapToGrid w:val="0"/>
        <w:spacing w:before="156" w:beforeLines="50" w:line="360" w:lineRule="exact"/>
        <w:ind w:firstLine="1311" w:firstLineChars="575"/>
        <w:rPr>
          <w:spacing w:val="9"/>
          <w:szCs w:val="21"/>
        </w:rPr>
      </w:pPr>
      <w:r>
        <w:rPr>
          <w:spacing w:val="9"/>
          <w:szCs w:val="21"/>
        </w:rPr>
        <w:t>具体分配情况如下：</w:t>
      </w:r>
    </w:p>
    <w:p w14:paraId="698CAA48">
      <w:pPr>
        <w:adjustRightInd w:val="0"/>
        <w:snapToGrid w:val="0"/>
        <w:spacing w:before="156" w:beforeLines="50" w:after="156" w:afterLines="50" w:line="360" w:lineRule="exact"/>
        <w:ind w:left="420" w:leftChars="200"/>
        <w:rPr>
          <w:rFonts w:eastAsia="黑体"/>
          <w:sz w:val="22"/>
          <w:szCs w:val="22"/>
        </w:rPr>
      </w:pPr>
      <w:bookmarkStart w:id="89" w:name="_Toc27878"/>
      <w:bookmarkStart w:id="90" w:name="_Toc3488"/>
      <w:bookmarkStart w:id="91" w:name="_Toc7357"/>
      <w:r>
        <w:rPr>
          <w:rFonts w:eastAsia="黑体"/>
          <w:sz w:val="22"/>
          <w:szCs w:val="22"/>
        </w:rPr>
        <w:t>3、清单结果及计算</w:t>
      </w:r>
      <w:bookmarkEnd w:id="89"/>
      <w:bookmarkEnd w:id="90"/>
      <w:bookmarkEnd w:id="91"/>
    </w:p>
    <w:p w14:paraId="642D795A">
      <w:pPr>
        <w:adjustRightInd w:val="0"/>
        <w:snapToGrid w:val="0"/>
        <w:spacing w:line="360" w:lineRule="exact"/>
        <w:ind w:firstLine="912" w:firstLineChars="400"/>
        <w:rPr>
          <w:spacing w:val="9"/>
          <w:szCs w:val="21"/>
        </w:rPr>
      </w:pPr>
      <w:r>
        <w:rPr>
          <w:spacing w:val="9"/>
          <w:szCs w:val="21"/>
        </w:rPr>
        <w:t>生命周期各个阶段碳排放计算说明见表1。</w:t>
      </w:r>
    </w:p>
    <w:p w14:paraId="4AE5200E">
      <w:pPr>
        <w:widowControl/>
        <w:tabs>
          <w:tab w:val="left" w:pos="0"/>
        </w:tabs>
        <w:adjustRightInd w:val="0"/>
        <w:snapToGrid w:val="0"/>
        <w:spacing w:line="360" w:lineRule="exact"/>
        <w:jc w:val="center"/>
        <w:rPr>
          <w:rFonts w:eastAsia="黑体"/>
          <w:kern w:val="0"/>
          <w:szCs w:val="20"/>
        </w:rPr>
      </w:pPr>
      <w:r>
        <w:rPr>
          <w:rFonts w:eastAsia="黑体"/>
          <w:kern w:val="0"/>
          <w:szCs w:val="20"/>
        </w:rPr>
        <w:t>表1</w:t>
      </w:r>
      <w:r>
        <w:rPr>
          <w:rFonts w:hint="eastAsia" w:eastAsia="黑体"/>
          <w:kern w:val="0"/>
          <w:szCs w:val="20"/>
        </w:rPr>
        <w:t xml:space="preserve">  XX</w:t>
      </w:r>
      <w:r>
        <w:rPr>
          <w:rFonts w:eastAsia="黑体"/>
          <w:kern w:val="0"/>
          <w:szCs w:val="20"/>
        </w:rPr>
        <w:t>产品生命周期碳排放清单说明</w:t>
      </w:r>
    </w:p>
    <w:tbl>
      <w:tblPr>
        <w:tblStyle w:val="155"/>
        <w:tblW w:w="942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438"/>
        <w:gridCol w:w="1859"/>
        <w:gridCol w:w="2564"/>
        <w:gridCol w:w="2567"/>
      </w:tblGrid>
      <w:tr w14:paraId="7BE04D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jc w:val="center"/>
        </w:trPr>
        <w:tc>
          <w:tcPr>
            <w:tcW w:w="2438" w:type="dxa"/>
            <w:tcBorders>
              <w:top w:val="single" w:color="auto" w:sz="4" w:space="0"/>
              <w:left w:val="single" w:color="auto" w:sz="4" w:space="0"/>
              <w:bottom w:val="single" w:color="auto" w:sz="4" w:space="0"/>
              <w:right w:val="single" w:color="auto" w:sz="4" w:space="0"/>
            </w:tcBorders>
            <w:noWrap w:val="0"/>
            <w:vAlign w:val="center"/>
          </w:tcPr>
          <w:p w14:paraId="05395D40">
            <w:pPr>
              <w:pStyle w:val="154"/>
              <w:spacing w:line="276" w:lineRule="auto"/>
              <w:jc w:val="center"/>
              <w:rPr>
                <w:rFonts w:ascii="Times New Roman" w:hAnsi="Times New Roman" w:cs="Times New Roman"/>
                <w:sz w:val="21"/>
                <w:szCs w:val="21"/>
              </w:rPr>
            </w:pPr>
            <w:bookmarkStart w:id="92" w:name="_Toc29490"/>
            <w:bookmarkStart w:id="93" w:name="_Toc4677"/>
            <w:bookmarkStart w:id="94" w:name="_Toc5429"/>
            <w:r>
              <w:rPr>
                <w:rFonts w:ascii="Times New Roman" w:hAnsi="Times New Roman" w:cs="Times New Roman"/>
                <w:spacing w:val="-5"/>
                <w:sz w:val="21"/>
                <w:szCs w:val="21"/>
              </w:rPr>
              <w:t>生命周期阶段</w:t>
            </w:r>
          </w:p>
        </w:tc>
        <w:tc>
          <w:tcPr>
            <w:tcW w:w="1859" w:type="dxa"/>
            <w:tcBorders>
              <w:left w:val="single" w:color="auto" w:sz="4" w:space="0"/>
            </w:tcBorders>
            <w:noWrap w:val="0"/>
            <w:vAlign w:val="center"/>
          </w:tcPr>
          <w:p w14:paraId="522CFCC3">
            <w:pPr>
              <w:pStyle w:val="154"/>
              <w:spacing w:line="276" w:lineRule="auto"/>
              <w:jc w:val="center"/>
              <w:rPr>
                <w:rFonts w:ascii="Times New Roman" w:hAnsi="Times New Roman" w:cs="Times New Roman"/>
                <w:sz w:val="21"/>
                <w:szCs w:val="21"/>
              </w:rPr>
            </w:pPr>
            <w:r>
              <w:rPr>
                <w:rFonts w:ascii="Times New Roman" w:hAnsi="Times New Roman" w:cs="Times New Roman"/>
                <w:spacing w:val="-5"/>
                <w:sz w:val="21"/>
                <w:szCs w:val="21"/>
              </w:rPr>
              <w:t>活动数据</w:t>
            </w:r>
          </w:p>
        </w:tc>
        <w:tc>
          <w:tcPr>
            <w:tcW w:w="2564" w:type="dxa"/>
            <w:noWrap w:val="0"/>
            <w:vAlign w:val="center"/>
          </w:tcPr>
          <w:p w14:paraId="5257C55B">
            <w:pPr>
              <w:pStyle w:val="154"/>
              <w:spacing w:line="276" w:lineRule="auto"/>
              <w:jc w:val="center"/>
              <w:rPr>
                <w:rFonts w:ascii="Times New Roman" w:hAnsi="Times New Roman" w:cs="Times New Roman"/>
                <w:sz w:val="21"/>
                <w:szCs w:val="21"/>
              </w:rPr>
            </w:pPr>
            <w:r>
              <w:rPr>
                <w:rFonts w:ascii="Times New Roman" w:hAnsi="Times New Roman" w:cs="Times New Roman"/>
                <w:spacing w:val="-5"/>
                <w:sz w:val="21"/>
                <w:szCs w:val="21"/>
              </w:rPr>
              <w:t>排放因子</w:t>
            </w:r>
          </w:p>
        </w:tc>
        <w:tc>
          <w:tcPr>
            <w:tcW w:w="2567" w:type="dxa"/>
            <w:noWrap w:val="0"/>
            <w:vAlign w:val="center"/>
          </w:tcPr>
          <w:p w14:paraId="4E8EF114">
            <w:pPr>
              <w:pStyle w:val="154"/>
              <w:spacing w:line="276" w:lineRule="auto"/>
              <w:jc w:val="center"/>
              <w:rPr>
                <w:rFonts w:ascii="Times New Roman" w:hAnsi="Times New Roman" w:cs="Times New Roman"/>
                <w:sz w:val="21"/>
                <w:szCs w:val="21"/>
                <w:lang w:eastAsia="zh-CN"/>
              </w:rPr>
            </w:pPr>
            <w:r>
              <w:rPr>
                <w:rFonts w:ascii="Times New Roman" w:hAnsi="Times New Roman" w:cs="Times New Roman"/>
                <w:spacing w:val="-3"/>
                <w:sz w:val="21"/>
                <w:szCs w:val="21"/>
                <w:lang w:eastAsia="zh-CN"/>
              </w:rPr>
              <w:t>温室气体量</w:t>
            </w:r>
          </w:p>
          <w:p w14:paraId="009A0032">
            <w:pPr>
              <w:pStyle w:val="154"/>
              <w:spacing w:line="276" w:lineRule="auto"/>
              <w:jc w:val="center"/>
              <w:rPr>
                <w:rFonts w:ascii="Times New Roman" w:hAnsi="Times New Roman" w:cs="Times New Roman"/>
                <w:sz w:val="21"/>
                <w:szCs w:val="21"/>
                <w:lang w:eastAsia="zh-CN"/>
              </w:rPr>
            </w:pPr>
            <w:r>
              <w:rPr>
                <w:rFonts w:ascii="Times New Roman" w:hAnsi="Times New Roman" w:cs="Times New Roman"/>
                <w:spacing w:val="-3"/>
                <w:sz w:val="21"/>
                <w:szCs w:val="21"/>
                <w:lang w:eastAsia="zh-CN"/>
              </w:rPr>
              <w:t>（</w:t>
            </w:r>
            <w:r>
              <w:rPr>
                <w:rFonts w:ascii="Times New Roman" w:hAnsi="Times New Roman" w:eastAsia="Times New Roman" w:cs="Times New Roman"/>
                <w:spacing w:val="-3"/>
                <w:sz w:val="21"/>
                <w:szCs w:val="21"/>
                <w:lang w:eastAsia="zh-CN"/>
              </w:rPr>
              <w:t>kg/</w:t>
            </w:r>
            <w:r>
              <w:rPr>
                <w:rFonts w:ascii="Times New Roman" w:hAnsi="Times New Roman" w:cs="Times New Roman"/>
                <w:spacing w:val="-3"/>
                <w:sz w:val="21"/>
                <w:szCs w:val="21"/>
                <w:lang w:eastAsia="zh-CN"/>
              </w:rPr>
              <w:t>功能单位或声明单位）</w:t>
            </w:r>
          </w:p>
        </w:tc>
      </w:tr>
      <w:tr w14:paraId="5F0C8C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jc w:val="center"/>
        </w:trPr>
        <w:tc>
          <w:tcPr>
            <w:tcW w:w="2438" w:type="dxa"/>
            <w:vMerge w:val="restart"/>
            <w:tcBorders>
              <w:top w:val="single" w:color="auto" w:sz="4" w:space="0"/>
              <w:left w:val="single" w:color="auto" w:sz="4" w:space="0"/>
              <w:bottom w:val="single" w:color="auto" w:sz="4" w:space="0"/>
              <w:right w:val="single" w:color="auto" w:sz="4" w:space="0"/>
            </w:tcBorders>
            <w:noWrap w:val="0"/>
            <w:vAlign w:val="center"/>
          </w:tcPr>
          <w:p w14:paraId="6BD8D5F9">
            <w:pPr>
              <w:pStyle w:val="154"/>
              <w:spacing w:line="276" w:lineRule="auto"/>
              <w:jc w:val="center"/>
              <w:rPr>
                <w:rFonts w:ascii="Times New Roman" w:hAnsi="Times New Roman" w:eastAsia="宋体" w:cs="Times New Roman"/>
                <w:spacing w:val="-5"/>
                <w:sz w:val="21"/>
                <w:szCs w:val="21"/>
              </w:rPr>
            </w:pPr>
            <w:r>
              <w:rPr>
                <w:rFonts w:hint="eastAsia" w:ascii="Times New Roman" w:hAnsi="Times New Roman" w:eastAsia="宋体" w:cs="Times New Roman"/>
                <w:spacing w:val="-5"/>
                <w:sz w:val="21"/>
                <w:szCs w:val="21"/>
              </w:rPr>
              <w:t>原料获取阶段</w:t>
            </w:r>
          </w:p>
        </w:tc>
        <w:tc>
          <w:tcPr>
            <w:tcW w:w="1859" w:type="dxa"/>
            <w:tcBorders>
              <w:left w:val="single" w:color="auto" w:sz="4" w:space="0"/>
            </w:tcBorders>
            <w:noWrap w:val="0"/>
            <w:vAlign w:val="center"/>
          </w:tcPr>
          <w:p w14:paraId="7056369A">
            <w:pPr>
              <w:spacing w:line="276" w:lineRule="auto"/>
              <w:jc w:val="center"/>
              <w:rPr>
                <w:szCs w:val="21"/>
              </w:rPr>
            </w:pPr>
          </w:p>
        </w:tc>
        <w:tc>
          <w:tcPr>
            <w:tcW w:w="2564" w:type="dxa"/>
            <w:noWrap w:val="0"/>
            <w:vAlign w:val="center"/>
          </w:tcPr>
          <w:p w14:paraId="608D12EA">
            <w:pPr>
              <w:spacing w:line="276" w:lineRule="auto"/>
              <w:jc w:val="center"/>
              <w:rPr>
                <w:szCs w:val="21"/>
              </w:rPr>
            </w:pPr>
          </w:p>
        </w:tc>
        <w:tc>
          <w:tcPr>
            <w:tcW w:w="2567" w:type="dxa"/>
            <w:noWrap w:val="0"/>
            <w:vAlign w:val="center"/>
          </w:tcPr>
          <w:p w14:paraId="1A99E4FA">
            <w:pPr>
              <w:spacing w:line="276" w:lineRule="auto"/>
              <w:jc w:val="center"/>
              <w:rPr>
                <w:szCs w:val="21"/>
              </w:rPr>
            </w:pPr>
          </w:p>
        </w:tc>
      </w:tr>
      <w:tr w14:paraId="3003A5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jc w:val="center"/>
        </w:trPr>
        <w:tc>
          <w:tcPr>
            <w:tcW w:w="2438" w:type="dxa"/>
            <w:vMerge w:val="continue"/>
            <w:tcBorders>
              <w:top w:val="single" w:color="auto" w:sz="4" w:space="0"/>
              <w:left w:val="single" w:color="auto" w:sz="4" w:space="0"/>
              <w:bottom w:val="single" w:color="auto" w:sz="4" w:space="0"/>
              <w:right w:val="single" w:color="auto" w:sz="4" w:space="0"/>
            </w:tcBorders>
            <w:noWrap w:val="0"/>
            <w:vAlign w:val="center"/>
          </w:tcPr>
          <w:p w14:paraId="6558A970">
            <w:pPr>
              <w:spacing w:line="276" w:lineRule="auto"/>
              <w:jc w:val="center"/>
              <w:rPr>
                <w:rFonts w:ascii="Times New Roman" w:hAnsi="Times New Roman" w:eastAsia="宋体" w:cs="Times New Roman"/>
                <w:spacing w:val="-5"/>
                <w:kern w:val="2"/>
                <w:sz w:val="21"/>
                <w:szCs w:val="21"/>
                <w:lang w:val="en-US" w:eastAsia="en-US" w:bidi="ar-SA"/>
              </w:rPr>
            </w:pPr>
          </w:p>
        </w:tc>
        <w:tc>
          <w:tcPr>
            <w:tcW w:w="1859" w:type="dxa"/>
            <w:tcBorders>
              <w:left w:val="single" w:color="auto" w:sz="4" w:space="0"/>
            </w:tcBorders>
            <w:noWrap w:val="0"/>
            <w:vAlign w:val="center"/>
          </w:tcPr>
          <w:p w14:paraId="1FC47EEE">
            <w:pPr>
              <w:spacing w:line="276" w:lineRule="auto"/>
              <w:jc w:val="center"/>
              <w:rPr>
                <w:szCs w:val="21"/>
              </w:rPr>
            </w:pPr>
          </w:p>
        </w:tc>
        <w:tc>
          <w:tcPr>
            <w:tcW w:w="2564" w:type="dxa"/>
            <w:noWrap w:val="0"/>
            <w:vAlign w:val="center"/>
          </w:tcPr>
          <w:p w14:paraId="136264E7">
            <w:pPr>
              <w:spacing w:line="276" w:lineRule="auto"/>
              <w:jc w:val="center"/>
              <w:rPr>
                <w:szCs w:val="21"/>
              </w:rPr>
            </w:pPr>
          </w:p>
        </w:tc>
        <w:tc>
          <w:tcPr>
            <w:tcW w:w="2567" w:type="dxa"/>
            <w:noWrap w:val="0"/>
            <w:vAlign w:val="center"/>
          </w:tcPr>
          <w:p w14:paraId="0B93466C">
            <w:pPr>
              <w:spacing w:line="276" w:lineRule="auto"/>
              <w:jc w:val="center"/>
              <w:rPr>
                <w:szCs w:val="21"/>
              </w:rPr>
            </w:pPr>
          </w:p>
        </w:tc>
      </w:tr>
      <w:tr w14:paraId="3E9000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jc w:val="center"/>
        </w:trPr>
        <w:tc>
          <w:tcPr>
            <w:tcW w:w="2438" w:type="dxa"/>
            <w:vMerge w:val="restart"/>
            <w:tcBorders>
              <w:top w:val="single" w:color="auto" w:sz="4" w:space="0"/>
              <w:left w:val="single" w:color="auto" w:sz="4" w:space="0"/>
              <w:bottom w:val="single" w:color="auto" w:sz="4" w:space="0"/>
              <w:right w:val="single" w:color="auto" w:sz="4" w:space="0"/>
            </w:tcBorders>
            <w:noWrap w:val="0"/>
            <w:vAlign w:val="center"/>
          </w:tcPr>
          <w:p w14:paraId="66A41278">
            <w:pPr>
              <w:pStyle w:val="154"/>
              <w:spacing w:line="276" w:lineRule="auto"/>
              <w:jc w:val="center"/>
              <w:rPr>
                <w:rFonts w:ascii="Times New Roman" w:hAnsi="Times New Roman" w:eastAsia="宋体" w:cs="Times New Roman"/>
                <w:spacing w:val="-5"/>
                <w:kern w:val="2"/>
                <w:sz w:val="21"/>
                <w:szCs w:val="21"/>
                <w:lang w:val="en-US" w:eastAsia="en-US" w:bidi="ar-SA"/>
              </w:rPr>
            </w:pPr>
            <w:r>
              <w:rPr>
                <w:rFonts w:hint="eastAsia" w:ascii="Times New Roman" w:hAnsi="Times New Roman" w:eastAsia="宋体" w:cs="Times New Roman"/>
                <w:spacing w:val="-5"/>
                <w:kern w:val="2"/>
                <w:sz w:val="21"/>
                <w:szCs w:val="21"/>
                <w:lang w:val="en-US" w:eastAsia="en-US" w:bidi="ar-SA"/>
              </w:rPr>
              <w:t>产品生产阶段</w:t>
            </w:r>
          </w:p>
        </w:tc>
        <w:tc>
          <w:tcPr>
            <w:tcW w:w="1859" w:type="dxa"/>
            <w:tcBorders>
              <w:left w:val="single" w:color="auto" w:sz="4" w:space="0"/>
            </w:tcBorders>
            <w:noWrap w:val="0"/>
            <w:vAlign w:val="center"/>
          </w:tcPr>
          <w:p w14:paraId="2518B967">
            <w:pPr>
              <w:spacing w:line="276" w:lineRule="auto"/>
              <w:jc w:val="center"/>
              <w:rPr>
                <w:szCs w:val="21"/>
              </w:rPr>
            </w:pPr>
          </w:p>
        </w:tc>
        <w:tc>
          <w:tcPr>
            <w:tcW w:w="2564" w:type="dxa"/>
            <w:noWrap w:val="0"/>
            <w:vAlign w:val="center"/>
          </w:tcPr>
          <w:p w14:paraId="1CEA8EE0">
            <w:pPr>
              <w:spacing w:line="276" w:lineRule="auto"/>
              <w:jc w:val="center"/>
              <w:rPr>
                <w:szCs w:val="21"/>
              </w:rPr>
            </w:pPr>
          </w:p>
        </w:tc>
        <w:tc>
          <w:tcPr>
            <w:tcW w:w="2567" w:type="dxa"/>
            <w:noWrap w:val="0"/>
            <w:vAlign w:val="center"/>
          </w:tcPr>
          <w:p w14:paraId="41B0E11A">
            <w:pPr>
              <w:spacing w:line="276" w:lineRule="auto"/>
              <w:jc w:val="center"/>
              <w:rPr>
                <w:szCs w:val="21"/>
              </w:rPr>
            </w:pPr>
          </w:p>
        </w:tc>
      </w:tr>
      <w:tr w14:paraId="58CFA9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jc w:val="center"/>
        </w:trPr>
        <w:tc>
          <w:tcPr>
            <w:tcW w:w="2438" w:type="dxa"/>
            <w:vMerge w:val="continue"/>
            <w:tcBorders>
              <w:top w:val="single" w:color="auto" w:sz="4" w:space="0"/>
              <w:left w:val="single" w:color="auto" w:sz="4" w:space="0"/>
              <w:bottom w:val="single" w:color="auto" w:sz="4" w:space="0"/>
              <w:right w:val="single" w:color="auto" w:sz="4" w:space="0"/>
            </w:tcBorders>
            <w:noWrap w:val="0"/>
            <w:vAlign w:val="center"/>
          </w:tcPr>
          <w:p w14:paraId="0A5DA322">
            <w:pPr>
              <w:spacing w:line="276" w:lineRule="auto"/>
              <w:jc w:val="center"/>
              <w:rPr>
                <w:rFonts w:ascii="Times New Roman" w:hAnsi="Times New Roman" w:eastAsia="宋体" w:cs="Times New Roman"/>
                <w:spacing w:val="-5"/>
                <w:kern w:val="2"/>
                <w:sz w:val="21"/>
                <w:szCs w:val="21"/>
                <w:lang w:val="en-US" w:eastAsia="en-US" w:bidi="ar-SA"/>
              </w:rPr>
            </w:pPr>
          </w:p>
        </w:tc>
        <w:tc>
          <w:tcPr>
            <w:tcW w:w="1859" w:type="dxa"/>
            <w:tcBorders>
              <w:left w:val="single" w:color="auto" w:sz="4" w:space="0"/>
            </w:tcBorders>
            <w:noWrap w:val="0"/>
            <w:vAlign w:val="center"/>
          </w:tcPr>
          <w:p w14:paraId="3D78283D">
            <w:pPr>
              <w:spacing w:line="276" w:lineRule="auto"/>
              <w:jc w:val="center"/>
              <w:rPr>
                <w:szCs w:val="21"/>
              </w:rPr>
            </w:pPr>
          </w:p>
        </w:tc>
        <w:tc>
          <w:tcPr>
            <w:tcW w:w="2564" w:type="dxa"/>
            <w:noWrap w:val="0"/>
            <w:vAlign w:val="center"/>
          </w:tcPr>
          <w:p w14:paraId="30B0AF7A">
            <w:pPr>
              <w:spacing w:line="276" w:lineRule="auto"/>
              <w:jc w:val="center"/>
              <w:rPr>
                <w:szCs w:val="21"/>
              </w:rPr>
            </w:pPr>
          </w:p>
        </w:tc>
        <w:tc>
          <w:tcPr>
            <w:tcW w:w="2567" w:type="dxa"/>
            <w:noWrap w:val="0"/>
            <w:vAlign w:val="center"/>
          </w:tcPr>
          <w:p w14:paraId="6BBAF9BC">
            <w:pPr>
              <w:spacing w:line="276" w:lineRule="auto"/>
              <w:jc w:val="center"/>
              <w:rPr>
                <w:szCs w:val="21"/>
              </w:rPr>
            </w:pPr>
          </w:p>
        </w:tc>
      </w:tr>
      <w:tr w14:paraId="60815B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jc w:val="center"/>
        </w:trPr>
        <w:tc>
          <w:tcPr>
            <w:tcW w:w="2438" w:type="dxa"/>
            <w:vMerge w:val="restart"/>
            <w:tcBorders>
              <w:top w:val="single" w:color="auto" w:sz="4" w:space="0"/>
              <w:left w:val="single" w:color="auto" w:sz="4" w:space="0"/>
              <w:bottom w:val="single" w:color="auto" w:sz="4" w:space="0"/>
              <w:right w:val="single" w:color="auto" w:sz="4" w:space="0"/>
            </w:tcBorders>
            <w:noWrap w:val="0"/>
            <w:vAlign w:val="center"/>
          </w:tcPr>
          <w:p w14:paraId="1CC0FC5B">
            <w:pPr>
              <w:pStyle w:val="154"/>
              <w:spacing w:line="276" w:lineRule="auto"/>
              <w:jc w:val="center"/>
              <w:rPr>
                <w:rFonts w:ascii="Times New Roman" w:hAnsi="Times New Roman" w:eastAsia="宋体" w:cs="Times New Roman"/>
                <w:spacing w:val="-5"/>
                <w:kern w:val="2"/>
                <w:sz w:val="21"/>
                <w:szCs w:val="21"/>
                <w:lang w:val="en-US" w:eastAsia="en-US" w:bidi="ar-SA"/>
              </w:rPr>
            </w:pPr>
            <w:r>
              <w:rPr>
                <w:rFonts w:hint="eastAsia" w:ascii="Times New Roman" w:hAnsi="Times New Roman" w:eastAsia="宋体" w:cs="Times New Roman"/>
                <w:spacing w:val="-5"/>
                <w:kern w:val="2"/>
                <w:sz w:val="21"/>
                <w:szCs w:val="21"/>
                <w:lang w:val="en-US" w:eastAsia="en-US" w:bidi="ar-SA"/>
              </w:rPr>
              <w:t>产品分销阶段</w:t>
            </w:r>
          </w:p>
        </w:tc>
        <w:tc>
          <w:tcPr>
            <w:tcW w:w="1859" w:type="dxa"/>
            <w:tcBorders>
              <w:left w:val="single" w:color="auto" w:sz="4" w:space="0"/>
            </w:tcBorders>
            <w:noWrap w:val="0"/>
            <w:vAlign w:val="center"/>
          </w:tcPr>
          <w:p w14:paraId="4AB970B2">
            <w:pPr>
              <w:spacing w:line="276" w:lineRule="auto"/>
              <w:jc w:val="center"/>
              <w:rPr>
                <w:szCs w:val="21"/>
              </w:rPr>
            </w:pPr>
          </w:p>
        </w:tc>
        <w:tc>
          <w:tcPr>
            <w:tcW w:w="2564" w:type="dxa"/>
            <w:noWrap w:val="0"/>
            <w:vAlign w:val="center"/>
          </w:tcPr>
          <w:p w14:paraId="5E87E12A">
            <w:pPr>
              <w:spacing w:line="276" w:lineRule="auto"/>
              <w:jc w:val="center"/>
              <w:rPr>
                <w:szCs w:val="21"/>
              </w:rPr>
            </w:pPr>
          </w:p>
        </w:tc>
        <w:tc>
          <w:tcPr>
            <w:tcW w:w="2567" w:type="dxa"/>
            <w:noWrap w:val="0"/>
            <w:vAlign w:val="center"/>
          </w:tcPr>
          <w:p w14:paraId="790570B8">
            <w:pPr>
              <w:spacing w:line="276" w:lineRule="auto"/>
              <w:jc w:val="center"/>
              <w:rPr>
                <w:szCs w:val="21"/>
              </w:rPr>
            </w:pPr>
          </w:p>
        </w:tc>
      </w:tr>
      <w:tr w14:paraId="462C19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jc w:val="center"/>
        </w:trPr>
        <w:tc>
          <w:tcPr>
            <w:tcW w:w="2438" w:type="dxa"/>
            <w:vMerge w:val="continue"/>
            <w:tcBorders>
              <w:top w:val="single" w:color="auto" w:sz="4" w:space="0"/>
              <w:left w:val="single" w:color="auto" w:sz="4" w:space="0"/>
              <w:bottom w:val="single" w:color="auto" w:sz="4" w:space="0"/>
              <w:right w:val="single" w:color="auto" w:sz="4" w:space="0"/>
            </w:tcBorders>
            <w:noWrap w:val="0"/>
            <w:vAlign w:val="center"/>
          </w:tcPr>
          <w:p w14:paraId="6DF51A02">
            <w:pPr>
              <w:pStyle w:val="154"/>
              <w:spacing w:line="276" w:lineRule="auto"/>
              <w:jc w:val="center"/>
              <w:rPr>
                <w:rFonts w:ascii="Times New Roman" w:hAnsi="Times New Roman" w:eastAsia="宋体" w:cs="Times New Roman"/>
                <w:spacing w:val="-5"/>
                <w:kern w:val="2"/>
                <w:sz w:val="21"/>
                <w:szCs w:val="21"/>
                <w:lang w:val="en-US" w:eastAsia="en-US" w:bidi="ar-SA"/>
              </w:rPr>
            </w:pPr>
          </w:p>
        </w:tc>
        <w:tc>
          <w:tcPr>
            <w:tcW w:w="1859" w:type="dxa"/>
            <w:tcBorders>
              <w:left w:val="single" w:color="auto" w:sz="4" w:space="0"/>
            </w:tcBorders>
            <w:noWrap w:val="0"/>
            <w:vAlign w:val="center"/>
          </w:tcPr>
          <w:p w14:paraId="4063C873">
            <w:pPr>
              <w:spacing w:line="276" w:lineRule="auto"/>
              <w:jc w:val="center"/>
              <w:rPr>
                <w:szCs w:val="21"/>
              </w:rPr>
            </w:pPr>
          </w:p>
        </w:tc>
        <w:tc>
          <w:tcPr>
            <w:tcW w:w="2564" w:type="dxa"/>
            <w:noWrap w:val="0"/>
            <w:vAlign w:val="center"/>
          </w:tcPr>
          <w:p w14:paraId="67BB083F">
            <w:pPr>
              <w:spacing w:line="276" w:lineRule="auto"/>
              <w:jc w:val="center"/>
              <w:rPr>
                <w:szCs w:val="21"/>
              </w:rPr>
            </w:pPr>
          </w:p>
        </w:tc>
        <w:tc>
          <w:tcPr>
            <w:tcW w:w="2567" w:type="dxa"/>
            <w:noWrap w:val="0"/>
            <w:vAlign w:val="center"/>
          </w:tcPr>
          <w:p w14:paraId="15EE2587">
            <w:pPr>
              <w:spacing w:line="276" w:lineRule="auto"/>
              <w:jc w:val="center"/>
              <w:rPr>
                <w:szCs w:val="21"/>
              </w:rPr>
            </w:pPr>
          </w:p>
        </w:tc>
      </w:tr>
      <w:tr w14:paraId="7709BC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jc w:val="center"/>
        </w:trPr>
        <w:tc>
          <w:tcPr>
            <w:tcW w:w="2438" w:type="dxa"/>
            <w:tcBorders>
              <w:top w:val="single" w:color="auto" w:sz="4" w:space="0"/>
              <w:left w:val="single" w:color="auto" w:sz="4" w:space="0"/>
              <w:bottom w:val="single" w:color="auto" w:sz="4" w:space="0"/>
              <w:right w:val="single" w:color="auto" w:sz="4" w:space="0"/>
            </w:tcBorders>
            <w:noWrap w:val="0"/>
            <w:vAlign w:val="center"/>
          </w:tcPr>
          <w:p w14:paraId="36020391">
            <w:pPr>
              <w:pStyle w:val="154"/>
              <w:spacing w:line="276" w:lineRule="auto"/>
              <w:jc w:val="center"/>
              <w:rPr>
                <w:rFonts w:hint="eastAsia" w:ascii="Times New Roman" w:hAnsi="Times New Roman" w:eastAsia="宋体" w:cs="Times New Roman"/>
                <w:spacing w:val="-5"/>
                <w:kern w:val="2"/>
                <w:sz w:val="21"/>
                <w:szCs w:val="21"/>
                <w:lang w:val="en-US" w:eastAsia="zh-CN" w:bidi="ar-SA"/>
              </w:rPr>
            </w:pPr>
            <w:r>
              <w:rPr>
                <w:rFonts w:hint="eastAsia" w:ascii="Times New Roman" w:hAnsi="Times New Roman" w:eastAsia="宋体" w:cs="Times New Roman"/>
                <w:spacing w:val="-5"/>
                <w:kern w:val="2"/>
                <w:sz w:val="21"/>
                <w:szCs w:val="21"/>
                <w:lang w:val="en-US" w:eastAsia="zh-CN" w:bidi="ar-SA"/>
              </w:rPr>
              <w:t>施工</w:t>
            </w:r>
            <w:r>
              <w:rPr>
                <w:rFonts w:ascii="Times New Roman" w:hAnsi="Times New Roman" w:eastAsia="宋体" w:cs="Times New Roman"/>
                <w:spacing w:val="-5"/>
                <w:kern w:val="2"/>
                <w:sz w:val="21"/>
                <w:szCs w:val="21"/>
                <w:lang w:val="en-US" w:eastAsia="en-US" w:bidi="ar-SA"/>
              </w:rPr>
              <w:t>使用</w:t>
            </w:r>
            <w:r>
              <w:rPr>
                <w:rFonts w:hint="eastAsia" w:ascii="Times New Roman" w:hAnsi="Times New Roman" w:eastAsia="宋体" w:cs="Times New Roman"/>
                <w:spacing w:val="-5"/>
                <w:kern w:val="2"/>
                <w:sz w:val="21"/>
                <w:szCs w:val="21"/>
                <w:lang w:val="en-US" w:eastAsia="zh-CN" w:bidi="ar-SA"/>
              </w:rPr>
              <w:t>阶段</w:t>
            </w:r>
          </w:p>
        </w:tc>
        <w:tc>
          <w:tcPr>
            <w:tcW w:w="1859" w:type="dxa"/>
            <w:tcBorders>
              <w:left w:val="single" w:color="auto" w:sz="4" w:space="0"/>
            </w:tcBorders>
            <w:noWrap w:val="0"/>
            <w:vAlign w:val="center"/>
          </w:tcPr>
          <w:p w14:paraId="36640CDD">
            <w:pPr>
              <w:spacing w:line="276" w:lineRule="auto"/>
              <w:jc w:val="center"/>
              <w:rPr>
                <w:szCs w:val="21"/>
              </w:rPr>
            </w:pPr>
          </w:p>
        </w:tc>
        <w:tc>
          <w:tcPr>
            <w:tcW w:w="2564" w:type="dxa"/>
            <w:noWrap w:val="0"/>
            <w:vAlign w:val="center"/>
          </w:tcPr>
          <w:p w14:paraId="30FC9F31">
            <w:pPr>
              <w:spacing w:line="276" w:lineRule="auto"/>
              <w:jc w:val="center"/>
              <w:rPr>
                <w:szCs w:val="21"/>
              </w:rPr>
            </w:pPr>
          </w:p>
        </w:tc>
        <w:tc>
          <w:tcPr>
            <w:tcW w:w="2567" w:type="dxa"/>
            <w:noWrap w:val="0"/>
            <w:vAlign w:val="center"/>
          </w:tcPr>
          <w:p w14:paraId="2E647CC9">
            <w:pPr>
              <w:spacing w:line="276" w:lineRule="auto"/>
              <w:jc w:val="center"/>
              <w:rPr>
                <w:szCs w:val="21"/>
              </w:rPr>
            </w:pPr>
          </w:p>
        </w:tc>
      </w:tr>
      <w:tr w14:paraId="4F0E2F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jc w:val="center"/>
        </w:trPr>
        <w:tc>
          <w:tcPr>
            <w:tcW w:w="2438" w:type="dxa"/>
            <w:vMerge w:val="restart"/>
            <w:tcBorders>
              <w:top w:val="single" w:color="auto" w:sz="4" w:space="0"/>
              <w:left w:val="single" w:color="auto" w:sz="4" w:space="0"/>
              <w:bottom w:val="single" w:color="auto" w:sz="4" w:space="0"/>
              <w:right w:val="single" w:color="auto" w:sz="4" w:space="0"/>
            </w:tcBorders>
            <w:noWrap w:val="0"/>
            <w:vAlign w:val="center"/>
          </w:tcPr>
          <w:p w14:paraId="575B84ED">
            <w:pPr>
              <w:pStyle w:val="154"/>
              <w:spacing w:line="276" w:lineRule="auto"/>
              <w:jc w:val="center"/>
              <w:rPr>
                <w:rFonts w:hint="eastAsia" w:ascii="Times New Roman" w:hAnsi="Times New Roman" w:eastAsia="宋体" w:cs="Times New Roman"/>
                <w:spacing w:val="-5"/>
                <w:kern w:val="2"/>
                <w:sz w:val="21"/>
                <w:szCs w:val="21"/>
                <w:lang w:val="en-US" w:eastAsia="zh-CN" w:bidi="ar-SA"/>
              </w:rPr>
            </w:pPr>
            <w:r>
              <w:rPr>
                <w:rFonts w:ascii="Times New Roman" w:hAnsi="Times New Roman" w:eastAsia="宋体" w:cs="Times New Roman"/>
                <w:spacing w:val="-5"/>
                <w:kern w:val="2"/>
                <w:sz w:val="21"/>
                <w:szCs w:val="21"/>
                <w:lang w:val="en-US" w:eastAsia="en-US" w:bidi="ar-SA"/>
              </w:rPr>
              <w:t>生命末期</w:t>
            </w:r>
            <w:r>
              <w:rPr>
                <w:rFonts w:hint="eastAsia" w:ascii="Times New Roman" w:hAnsi="Times New Roman" w:eastAsia="宋体" w:cs="Times New Roman"/>
                <w:spacing w:val="-5"/>
                <w:kern w:val="2"/>
                <w:sz w:val="21"/>
                <w:szCs w:val="21"/>
                <w:lang w:val="en-US" w:eastAsia="zh-CN" w:bidi="ar-SA"/>
              </w:rPr>
              <w:t>阶段</w:t>
            </w:r>
          </w:p>
        </w:tc>
        <w:tc>
          <w:tcPr>
            <w:tcW w:w="1859" w:type="dxa"/>
            <w:tcBorders>
              <w:left w:val="single" w:color="auto" w:sz="4" w:space="0"/>
            </w:tcBorders>
            <w:noWrap w:val="0"/>
            <w:vAlign w:val="center"/>
          </w:tcPr>
          <w:p w14:paraId="6EE65C24">
            <w:pPr>
              <w:spacing w:line="276" w:lineRule="auto"/>
              <w:jc w:val="center"/>
              <w:rPr>
                <w:szCs w:val="21"/>
              </w:rPr>
            </w:pPr>
          </w:p>
        </w:tc>
        <w:tc>
          <w:tcPr>
            <w:tcW w:w="2564" w:type="dxa"/>
            <w:noWrap w:val="0"/>
            <w:vAlign w:val="center"/>
          </w:tcPr>
          <w:p w14:paraId="6AE44B93">
            <w:pPr>
              <w:spacing w:line="276" w:lineRule="auto"/>
              <w:jc w:val="center"/>
              <w:rPr>
                <w:szCs w:val="21"/>
              </w:rPr>
            </w:pPr>
          </w:p>
        </w:tc>
        <w:tc>
          <w:tcPr>
            <w:tcW w:w="2567" w:type="dxa"/>
            <w:noWrap w:val="0"/>
            <w:vAlign w:val="center"/>
          </w:tcPr>
          <w:p w14:paraId="0FFB9287">
            <w:pPr>
              <w:spacing w:line="276" w:lineRule="auto"/>
              <w:jc w:val="center"/>
              <w:rPr>
                <w:szCs w:val="21"/>
              </w:rPr>
            </w:pPr>
          </w:p>
        </w:tc>
      </w:tr>
      <w:tr w14:paraId="475DF4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jc w:val="center"/>
        </w:trPr>
        <w:tc>
          <w:tcPr>
            <w:tcW w:w="2438" w:type="dxa"/>
            <w:vMerge w:val="continue"/>
            <w:tcBorders>
              <w:top w:val="single" w:color="auto" w:sz="4" w:space="0"/>
              <w:left w:val="single" w:color="auto" w:sz="4" w:space="0"/>
              <w:bottom w:val="single" w:color="auto" w:sz="4" w:space="0"/>
              <w:right w:val="single" w:color="auto" w:sz="4" w:space="0"/>
            </w:tcBorders>
            <w:noWrap w:val="0"/>
            <w:vAlign w:val="center"/>
          </w:tcPr>
          <w:p w14:paraId="70078316">
            <w:pPr>
              <w:spacing w:line="276" w:lineRule="auto"/>
              <w:jc w:val="center"/>
              <w:rPr>
                <w:szCs w:val="21"/>
              </w:rPr>
            </w:pPr>
          </w:p>
        </w:tc>
        <w:tc>
          <w:tcPr>
            <w:tcW w:w="1859" w:type="dxa"/>
            <w:tcBorders>
              <w:left w:val="single" w:color="auto" w:sz="4" w:space="0"/>
            </w:tcBorders>
            <w:noWrap w:val="0"/>
            <w:vAlign w:val="center"/>
          </w:tcPr>
          <w:p w14:paraId="413B3A87">
            <w:pPr>
              <w:spacing w:line="276" w:lineRule="auto"/>
              <w:jc w:val="center"/>
              <w:rPr>
                <w:szCs w:val="21"/>
              </w:rPr>
            </w:pPr>
          </w:p>
        </w:tc>
        <w:tc>
          <w:tcPr>
            <w:tcW w:w="2564" w:type="dxa"/>
            <w:noWrap w:val="0"/>
            <w:vAlign w:val="center"/>
          </w:tcPr>
          <w:p w14:paraId="35E59325">
            <w:pPr>
              <w:spacing w:line="276" w:lineRule="auto"/>
              <w:jc w:val="center"/>
              <w:rPr>
                <w:szCs w:val="21"/>
              </w:rPr>
            </w:pPr>
          </w:p>
        </w:tc>
        <w:tc>
          <w:tcPr>
            <w:tcW w:w="2567" w:type="dxa"/>
            <w:noWrap w:val="0"/>
            <w:vAlign w:val="center"/>
          </w:tcPr>
          <w:p w14:paraId="19352141">
            <w:pPr>
              <w:spacing w:line="276" w:lineRule="auto"/>
              <w:jc w:val="center"/>
              <w:rPr>
                <w:szCs w:val="21"/>
              </w:rPr>
            </w:pPr>
          </w:p>
        </w:tc>
      </w:tr>
    </w:tbl>
    <w:p w14:paraId="67D0EA9B">
      <w:pPr>
        <w:adjustRightInd w:val="0"/>
        <w:snapToGrid w:val="0"/>
        <w:spacing w:before="156" w:beforeLines="50" w:after="156" w:afterLines="50" w:line="360" w:lineRule="exact"/>
        <w:ind w:left="420" w:leftChars="200"/>
        <w:rPr>
          <w:rFonts w:eastAsia="黑体"/>
          <w:sz w:val="22"/>
          <w:szCs w:val="22"/>
        </w:rPr>
      </w:pPr>
      <w:r>
        <w:rPr>
          <w:rFonts w:eastAsia="黑体"/>
          <w:sz w:val="22"/>
          <w:szCs w:val="22"/>
        </w:rPr>
        <w:t>4、数据质量评价（可选项）</w:t>
      </w:r>
      <w:bookmarkEnd w:id="92"/>
      <w:bookmarkEnd w:id="93"/>
      <w:bookmarkEnd w:id="94"/>
    </w:p>
    <w:p w14:paraId="02D339BF">
      <w:pPr>
        <w:adjustRightInd w:val="0"/>
        <w:snapToGrid w:val="0"/>
        <w:spacing w:line="360" w:lineRule="exact"/>
        <w:ind w:left="420" w:leftChars="200" w:right="420" w:rightChars="200" w:firstLine="456" w:firstLineChars="200"/>
        <w:rPr>
          <w:rFonts w:hint="eastAsia"/>
          <w:spacing w:val="9"/>
          <w:szCs w:val="21"/>
          <w:lang w:eastAsia="zh-CN"/>
        </w:rPr>
      </w:pPr>
      <w:r>
        <w:rPr>
          <w:spacing w:val="9"/>
          <w:szCs w:val="21"/>
        </w:rPr>
        <w:t>数据质量可从定性和定量两个方面对报告使用的初级数据和次级数据进行评价，具体评价内容包括：数据来源、完整性、数据代表性（时间、地理、技术）和准确性</w:t>
      </w:r>
      <w:r>
        <w:rPr>
          <w:rFonts w:hint="eastAsia"/>
          <w:spacing w:val="9"/>
          <w:szCs w:val="21"/>
          <w:lang w:eastAsia="zh-CN"/>
        </w:rPr>
        <w:t>。</w:t>
      </w:r>
    </w:p>
    <w:p w14:paraId="7C7B78BE">
      <w:pPr>
        <w:pStyle w:val="2"/>
        <w:rPr>
          <w:rFonts w:hint="eastAsia"/>
          <w:spacing w:val="9"/>
          <w:szCs w:val="21"/>
          <w:lang w:eastAsia="zh-CN"/>
        </w:rPr>
      </w:pPr>
    </w:p>
    <w:p w14:paraId="139CDD31">
      <w:pPr>
        <w:adjustRightInd w:val="0"/>
        <w:snapToGrid w:val="0"/>
        <w:spacing w:before="156" w:beforeLines="50" w:after="156" w:afterLines="50" w:line="360" w:lineRule="exact"/>
        <w:ind w:left="420" w:leftChars="200"/>
        <w:rPr>
          <w:rFonts w:eastAsia="黑体"/>
          <w:spacing w:val="-17"/>
          <w:sz w:val="24"/>
        </w:rPr>
      </w:pPr>
      <w:bookmarkStart w:id="95" w:name="_Toc5134"/>
      <w:bookmarkStart w:id="96" w:name="_Toc15226"/>
      <w:bookmarkStart w:id="97" w:name="_Toc26103"/>
      <w:r>
        <w:rPr>
          <w:rFonts w:eastAsia="黑体"/>
          <w:sz w:val="22"/>
          <w:szCs w:val="22"/>
        </w:rPr>
        <mc:AlternateContent>
          <mc:Choice Requires="wps">
            <w:drawing>
              <wp:anchor distT="0" distB="0" distL="114300" distR="114300" simplePos="0" relativeHeight="251675648" behindDoc="1" locked="0" layoutInCell="1" allowOverlap="1">
                <wp:simplePos x="0" y="0"/>
                <wp:positionH relativeFrom="column">
                  <wp:posOffset>-2540</wp:posOffset>
                </wp:positionH>
                <wp:positionV relativeFrom="paragraph">
                  <wp:posOffset>-29845</wp:posOffset>
                </wp:positionV>
                <wp:extent cx="6119495" cy="9180195"/>
                <wp:effectExtent l="4445" t="4445" r="17780" b="5080"/>
                <wp:wrapNone/>
                <wp:docPr id="16" name="矩形 16"/>
                <wp:cNvGraphicFramePr/>
                <a:graphic xmlns:a="http://schemas.openxmlformats.org/drawingml/2006/main">
                  <a:graphicData uri="http://schemas.microsoft.com/office/word/2010/wordprocessingShape">
                    <wps:wsp>
                      <wps:cNvSpPr/>
                      <wps:spPr>
                        <a:xfrm>
                          <a:off x="0" y="0"/>
                          <a:ext cx="6119495" cy="9180000"/>
                        </a:xfrm>
                        <a:prstGeom prst="rect">
                          <a:avLst/>
                        </a:prstGeom>
                        <a:no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0.2pt;margin-top:-2.35pt;height:722.85pt;width:481.85pt;z-index:-251640832;v-text-anchor:middle;mso-width-relative:page;mso-height-relative:page;" filled="f" stroked="t" coordsize="21600,21600" o:gfxdata="UEsDBAoAAAAAAIdO4kAAAAAAAAAAAAAAAAAEAAAAZHJzL1BLAwQUAAAACACHTuJAL5Ib/NgAAAAJ&#10;AQAADwAAAGRycy9kb3ducmV2LnhtbE2PwU7DMAyG70i8Q2QkbltSVrqtazohJC47gBhIXLPWa6o1&#10;TtWk63h7vBM7Wdb/6ffnYntxnTjjEFpPGpK5AoFU+bqlRsP319tsBSJEQ7XpPKGGXwywLe/vCpPX&#10;fqJPPO9jI7iEQm402Bj7XMpQWXQmzH2PxNnRD85EXodG1oOZuNx18kmpTDrTEl+wpsdXi9VpPzoN&#10;q/VyfE6PZrQ/H9PunWz2Uqmd1o8PidqAiHiJ/zBc9VkdSnY6+JHqIDoNs5TB61iC4HidLRYgDsyl&#10;aaJAloW8/aD8A1BLAwQUAAAACACHTuJA2ZQz/24CAADYBAAADgAAAGRycy9lMm9Eb2MueG1srVRL&#10;btswEN0X6B0I7htZqfOxETkwYqQoEDQGkqJrmiItAfyVpC27lynQXQ/R4xS9Rh8pJU7TLrKoFtQM&#10;Z/g48/jIi8udVmQrfGitqWh5NKJEGG7r1qwr+vH++s05JSEyUzNljajoXgR6OXv96qJzU3FsG6tq&#10;4QlATJh2rqJNjG5aFIE3QrNwZJ0wCErrNYtw/bqoPeuArlVxPBqdFp31tfOWixAwu+iDdED0LwG0&#10;UrZcLCzfaGFij+qFYhEthaZ1gc5ytVIKHm+lDCISVVF0GvOITWCv0ljMLth07ZlrWj6UwF5SwrOe&#10;NGsNNn2EWrDIyMa3f0HplnsbrIxH3OqibyQzgi7K0TNu7hrmRO4FVAf3SHr4f7D8w3bpSVtDCaeU&#10;GKZx4r++fv/54xvBBNjpXJgi6c4t/eAFmKnVnfQ6/dEE2WVG94+Mil0kHJOnZTkZT04o4YhNyvMR&#10;voRaHJY7H+I7YTVJRkU9jiwzybY3IfapDylpN2OvW6Uwz6bKkK6ib8uzhM8gRQkJwNQO7QSzpoSp&#10;NTTOo8+Iwaq2TqvT4rAPV8qTLYMwoM7advcomhLFQkQAneRvKPaPpamcBQtNvziHhjRlErTIuhuq&#10;T/z1jCVrZes9+Pa2F2Jw/LoF2g02XTIP5UGXuJvxFoNUFu3ZwaKksf7Lv+ZTPgSBKCUdlIzeP2+Y&#10;F+jlvYFUJuV4nKSfnfHJ2TEc/zSyehoxG31lwUmJV8DxbKb8qB5M6a3+hCs8T7sixAzH3j3Lg3MV&#10;+xuGR4CL+TynQe6OxRtz53gC749yvolWtvmUD+xAHcmB4LNOhsuZbtRTP2cdHqTZ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AAAAABkcnMv&#10;UEsBAhQAFAAAAAgAh07iQC+SG/zYAAAACQEAAA8AAAAAAAAAAQAgAAAAIgAAAGRycy9kb3ducmV2&#10;LnhtbFBLAQIUABQAAAAIAIdO4kDZlDP/bgIAANgEAAAOAAAAAAAAAAEAIAAAACcBAABkcnMvZTJv&#10;RG9jLnhtbFBLBQYAAAAABgAGAFkBAAAHBgAAAAA=&#10;">
                <v:fill on="f" focussize="0,0"/>
                <v:stroke weight="0.25pt" color="#000000" joinstyle="round"/>
                <v:imagedata o:title=""/>
                <o:lock v:ext="edit" aspectratio="f"/>
              </v:rect>
            </w:pict>
          </mc:Fallback>
        </mc:AlternateContent>
      </w:r>
      <w:r>
        <w:rPr>
          <w:rFonts w:eastAsia="黑体"/>
          <w:spacing w:val="-17"/>
          <w:sz w:val="24"/>
        </w:rPr>
        <w:t>五、影响评价</w:t>
      </w:r>
      <w:bookmarkEnd w:id="95"/>
      <w:bookmarkEnd w:id="96"/>
      <w:bookmarkEnd w:id="97"/>
    </w:p>
    <w:p w14:paraId="75D62E9D">
      <w:pPr>
        <w:adjustRightInd w:val="0"/>
        <w:snapToGrid w:val="0"/>
        <w:spacing w:before="156" w:beforeLines="50" w:after="156" w:afterLines="50" w:line="360" w:lineRule="exact"/>
        <w:ind w:left="420" w:leftChars="200"/>
        <w:rPr>
          <w:rFonts w:eastAsia="黑体"/>
          <w:sz w:val="22"/>
          <w:szCs w:val="22"/>
        </w:rPr>
      </w:pPr>
      <w:bookmarkStart w:id="98" w:name="_Toc14551"/>
      <w:bookmarkStart w:id="99" w:name="_Toc6100"/>
      <w:bookmarkStart w:id="100" w:name="_Toc31873"/>
      <w:r>
        <w:rPr>
          <w:rFonts w:eastAsia="黑体"/>
          <w:sz w:val="22"/>
          <w:szCs w:val="22"/>
        </w:rPr>
        <w:t>1、影响类型和特征化因子选择</w:t>
      </w:r>
      <w:bookmarkEnd w:id="98"/>
      <w:bookmarkEnd w:id="99"/>
      <w:bookmarkEnd w:id="100"/>
    </w:p>
    <w:p w14:paraId="6A5F877D">
      <w:pPr>
        <w:adjustRightInd w:val="0"/>
        <w:snapToGrid w:val="0"/>
        <w:spacing w:line="360" w:lineRule="exact"/>
        <w:ind w:left="420" w:leftChars="200" w:right="420" w:rightChars="200" w:firstLine="456" w:firstLineChars="200"/>
        <w:rPr>
          <w:spacing w:val="9"/>
          <w:szCs w:val="21"/>
        </w:rPr>
      </w:pPr>
      <w:r>
        <w:rPr>
          <w:spacing w:val="9"/>
          <w:szCs w:val="21"/>
        </w:rPr>
        <w:t>一般选择IPCC给出的100年GWP。</w:t>
      </w:r>
    </w:p>
    <w:p w14:paraId="37A7C16E">
      <w:pPr>
        <w:adjustRightInd w:val="0"/>
        <w:snapToGrid w:val="0"/>
        <w:spacing w:before="156" w:beforeLines="50" w:after="156" w:afterLines="50" w:line="360" w:lineRule="exact"/>
        <w:ind w:left="420" w:leftChars="200"/>
        <w:rPr>
          <w:rFonts w:eastAsia="黑体"/>
          <w:sz w:val="22"/>
          <w:szCs w:val="22"/>
        </w:rPr>
      </w:pPr>
      <w:r>
        <w:rPr>
          <w:rFonts w:hint="eastAsia" w:eastAsia="黑体"/>
          <w:sz w:val="22"/>
          <w:szCs w:val="22"/>
        </w:rPr>
        <w:t>2、</w:t>
      </w:r>
      <w:r>
        <w:rPr>
          <w:rFonts w:eastAsia="黑体"/>
          <w:sz w:val="22"/>
          <w:szCs w:val="22"/>
        </w:rPr>
        <w:t>产品碳足迹结果计算</w:t>
      </w:r>
    </w:p>
    <w:p w14:paraId="03AEE1DA">
      <w:pPr>
        <w:adjustRightInd w:val="0"/>
        <w:snapToGrid w:val="0"/>
        <w:spacing w:before="156" w:beforeLines="50" w:after="156" w:afterLines="50" w:line="360" w:lineRule="exact"/>
        <w:ind w:left="420" w:leftChars="200"/>
        <w:rPr>
          <w:rFonts w:eastAsia="黑体"/>
          <w:sz w:val="22"/>
          <w:szCs w:val="22"/>
        </w:rPr>
      </w:pPr>
      <w:r>
        <w:rPr>
          <w:rFonts w:hint="eastAsia" w:eastAsia="黑体"/>
          <w:sz w:val="22"/>
          <w:szCs w:val="22"/>
        </w:rPr>
        <w:t>3、附加环境信息（如有）</w:t>
      </w:r>
    </w:p>
    <w:p w14:paraId="079769BD">
      <w:pPr>
        <w:adjustRightInd w:val="0"/>
        <w:snapToGrid w:val="0"/>
        <w:spacing w:before="156" w:beforeLines="50" w:after="156" w:afterLines="50" w:line="360" w:lineRule="exact"/>
        <w:ind w:left="420" w:leftChars="200"/>
        <w:rPr>
          <w:rFonts w:eastAsia="黑体"/>
          <w:spacing w:val="-17"/>
          <w:sz w:val="24"/>
        </w:rPr>
      </w:pPr>
      <w:bookmarkStart w:id="101" w:name="_Toc14996"/>
      <w:bookmarkStart w:id="102" w:name="_Toc21057"/>
      <w:bookmarkStart w:id="103" w:name="_Toc31469"/>
      <w:r>
        <w:rPr>
          <w:rFonts w:eastAsia="黑体"/>
          <w:spacing w:val="-17"/>
          <w:sz w:val="24"/>
        </w:rPr>
        <w:t>六、结果解释</w:t>
      </w:r>
      <w:bookmarkEnd w:id="101"/>
      <w:bookmarkEnd w:id="102"/>
      <w:bookmarkEnd w:id="103"/>
    </w:p>
    <w:p w14:paraId="421E3FED">
      <w:pPr>
        <w:adjustRightInd w:val="0"/>
        <w:snapToGrid w:val="0"/>
        <w:spacing w:before="156" w:beforeLines="50" w:after="156" w:afterLines="50" w:line="360" w:lineRule="exact"/>
        <w:ind w:left="420" w:leftChars="200"/>
        <w:rPr>
          <w:rFonts w:eastAsia="黑体"/>
          <w:sz w:val="22"/>
          <w:szCs w:val="22"/>
        </w:rPr>
      </w:pPr>
      <w:bookmarkStart w:id="104" w:name="_Toc5326"/>
      <w:bookmarkStart w:id="105" w:name="_Toc4756"/>
      <w:bookmarkStart w:id="106" w:name="_Toc15776"/>
      <w:r>
        <w:rPr>
          <w:rFonts w:eastAsia="黑体"/>
          <w:sz w:val="22"/>
          <w:szCs w:val="22"/>
        </w:rPr>
        <w:t>1、结果说明</w:t>
      </w:r>
      <w:bookmarkEnd w:id="104"/>
      <w:bookmarkEnd w:id="105"/>
      <w:bookmarkEnd w:id="106"/>
    </w:p>
    <w:p w14:paraId="38EE6965">
      <w:pPr>
        <w:tabs>
          <w:tab w:val="left" w:pos="1310"/>
        </w:tabs>
        <w:adjustRightInd w:val="0"/>
        <w:snapToGrid w:val="0"/>
        <w:spacing w:line="360" w:lineRule="exact"/>
        <w:ind w:left="420" w:leftChars="200" w:right="420" w:rightChars="200" w:firstLine="468" w:firstLineChars="200"/>
        <w:rPr>
          <w:spacing w:val="12"/>
          <w:szCs w:val="21"/>
        </w:rPr>
      </w:pPr>
      <w:r>
        <w:rPr>
          <w:spacing w:val="12"/>
          <w:szCs w:val="21"/>
          <w:u w:val="single"/>
        </w:rPr>
        <w:t xml:space="preserve">     </w:t>
      </w:r>
      <w:r>
        <w:rPr>
          <w:rFonts w:hint="eastAsia"/>
          <w:spacing w:val="12"/>
          <w:szCs w:val="21"/>
          <w:u w:val="single"/>
          <w:lang w:val="en-US" w:eastAsia="zh-CN"/>
        </w:rPr>
        <w:t xml:space="preserve">  </w:t>
      </w:r>
      <w:r>
        <w:rPr>
          <w:spacing w:val="12"/>
          <w:szCs w:val="21"/>
          <w:u w:val="single"/>
        </w:rPr>
        <w:t xml:space="preserve">  </w:t>
      </w:r>
      <w:r>
        <w:rPr>
          <w:rFonts w:hint="eastAsia"/>
          <w:spacing w:val="12"/>
          <w:szCs w:val="21"/>
          <w:u w:val="single"/>
          <w:lang w:val="en-US" w:eastAsia="zh-CN"/>
        </w:rPr>
        <w:t xml:space="preserve">   </w:t>
      </w:r>
      <w:r>
        <w:rPr>
          <w:spacing w:val="12"/>
          <w:szCs w:val="21"/>
          <w:u w:val="single"/>
        </w:rPr>
        <w:t xml:space="preserve">  </w:t>
      </w:r>
      <w:r>
        <w:rPr>
          <w:spacing w:val="12"/>
          <w:szCs w:val="21"/>
        </w:rPr>
        <w:t>公司（填写产品生产者的全名）生产的</w:t>
      </w:r>
      <w:r>
        <w:rPr>
          <w:spacing w:val="12"/>
          <w:szCs w:val="21"/>
          <w:u w:val="single"/>
        </w:rPr>
        <w:t xml:space="preserve">   </w:t>
      </w:r>
      <w:r>
        <w:rPr>
          <w:rFonts w:hint="eastAsia"/>
          <w:spacing w:val="12"/>
          <w:szCs w:val="21"/>
          <w:u w:val="single"/>
          <w:lang w:val="en-US" w:eastAsia="zh-CN"/>
        </w:rPr>
        <w:t xml:space="preserve">   </w:t>
      </w:r>
      <w:r>
        <w:rPr>
          <w:spacing w:val="12"/>
          <w:szCs w:val="21"/>
          <w:u w:val="single"/>
        </w:rPr>
        <w:t xml:space="preserve"> </w:t>
      </w:r>
      <w:r>
        <w:rPr>
          <w:rFonts w:hint="eastAsia"/>
          <w:spacing w:val="12"/>
          <w:szCs w:val="21"/>
          <w:u w:val="single"/>
          <w:lang w:val="en-US" w:eastAsia="zh-CN"/>
        </w:rPr>
        <w:t xml:space="preserve"> </w:t>
      </w:r>
      <w:r>
        <w:rPr>
          <w:spacing w:val="12"/>
          <w:szCs w:val="21"/>
          <w:u w:val="single"/>
        </w:rPr>
        <w:t xml:space="preserve">     </w:t>
      </w:r>
      <w:r>
        <w:rPr>
          <w:spacing w:val="12"/>
          <w:szCs w:val="21"/>
        </w:rPr>
        <w:t>（填写所评价的产品名称，每</w:t>
      </w:r>
      <w:r>
        <w:rPr>
          <w:rFonts w:hint="eastAsia" w:ascii="楷体" w:hAnsi="楷体" w:eastAsia="楷体" w:cs="宋体"/>
          <w:sz w:val="24"/>
          <w:szCs w:val="24"/>
          <w:highlight w:val="none"/>
        </w:rPr>
        <w:sym w:font="Wingdings" w:char="00A8"/>
      </w:r>
      <w:r>
        <w:rPr>
          <w:spacing w:val="12"/>
          <w:szCs w:val="21"/>
        </w:rPr>
        <w:t>功能单位/</w:t>
      </w:r>
      <w:r>
        <w:rPr>
          <w:rFonts w:hint="eastAsia" w:ascii="楷体" w:hAnsi="楷体" w:eastAsia="楷体" w:cs="宋体"/>
          <w:sz w:val="24"/>
          <w:szCs w:val="24"/>
          <w:highlight w:val="none"/>
        </w:rPr>
        <w:sym w:font="Wingdings" w:char="00A8"/>
      </w:r>
      <w:r>
        <w:rPr>
          <w:spacing w:val="12"/>
          <w:szCs w:val="21"/>
        </w:rPr>
        <w:t>声明单位的产品），从</w:t>
      </w:r>
      <w:r>
        <w:rPr>
          <w:spacing w:val="12"/>
          <w:szCs w:val="21"/>
          <w:u w:val="single"/>
        </w:rPr>
        <w:t xml:space="preserve">     </w:t>
      </w:r>
      <w:r>
        <w:rPr>
          <w:spacing w:val="12"/>
          <w:szCs w:val="21"/>
        </w:rPr>
        <w:t>（填写某生命周期阶段）到</w:t>
      </w:r>
      <w:r>
        <w:rPr>
          <w:spacing w:val="12"/>
          <w:szCs w:val="21"/>
          <w:u w:val="single"/>
        </w:rPr>
        <w:t xml:space="preserve">      </w:t>
      </w:r>
      <w:r>
        <w:rPr>
          <w:spacing w:val="12"/>
          <w:szCs w:val="21"/>
        </w:rPr>
        <w:t>（填写某生命周期阶段）生命周期碳足迹为</w:t>
      </w:r>
      <w:r>
        <w:rPr>
          <w:spacing w:val="12"/>
          <w:szCs w:val="21"/>
          <w:u w:val="single"/>
        </w:rPr>
        <w:t xml:space="preserve">       </w:t>
      </w:r>
      <w:r>
        <w:rPr>
          <w:spacing w:val="12"/>
          <w:szCs w:val="21"/>
        </w:rPr>
        <w:t>kgCO</w:t>
      </w:r>
      <w:r>
        <w:rPr>
          <w:spacing w:val="12"/>
          <w:szCs w:val="21"/>
          <w:vertAlign w:val="subscript"/>
        </w:rPr>
        <w:t>2</w:t>
      </w:r>
      <w:r>
        <w:rPr>
          <w:spacing w:val="12"/>
          <w:szCs w:val="21"/>
        </w:rPr>
        <w:t>e。各生命周期阶段的温室气体排放情况如表2和图2所示。</w:t>
      </w:r>
    </w:p>
    <w:p w14:paraId="6B956A95">
      <w:pPr>
        <w:widowControl/>
        <w:tabs>
          <w:tab w:val="left" w:pos="0"/>
        </w:tabs>
        <w:adjustRightInd w:val="0"/>
        <w:snapToGrid w:val="0"/>
        <w:spacing w:line="360" w:lineRule="exact"/>
        <w:jc w:val="center"/>
        <w:rPr>
          <w:rFonts w:eastAsia="黑体"/>
          <w:kern w:val="0"/>
          <w:szCs w:val="20"/>
        </w:rPr>
      </w:pPr>
      <w:r>
        <w:rPr>
          <w:rFonts w:eastAsia="黑体"/>
          <w:kern w:val="0"/>
          <w:szCs w:val="20"/>
        </w:rPr>
        <w:t xml:space="preserve">表2  </w:t>
      </w:r>
      <w:r>
        <w:rPr>
          <w:rFonts w:hint="eastAsia" w:eastAsia="黑体"/>
          <w:kern w:val="0"/>
          <w:szCs w:val="20"/>
        </w:rPr>
        <w:t>XX</w:t>
      </w:r>
      <w:r>
        <w:rPr>
          <w:rFonts w:eastAsia="黑体"/>
          <w:kern w:val="0"/>
          <w:szCs w:val="20"/>
        </w:rPr>
        <w:t>产品生命周期各阶段碳排放情况</w:t>
      </w:r>
    </w:p>
    <w:tbl>
      <w:tblPr>
        <w:tblStyle w:val="155"/>
        <w:tblW w:w="4998"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3310"/>
        <w:gridCol w:w="4392"/>
        <w:gridCol w:w="1938"/>
      </w:tblGrid>
      <w:tr w14:paraId="522444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716" w:type="pct"/>
            <w:noWrap w:val="0"/>
            <w:vAlign w:val="center"/>
          </w:tcPr>
          <w:p w14:paraId="121798DD">
            <w:pPr>
              <w:pStyle w:val="154"/>
              <w:spacing w:line="276" w:lineRule="auto"/>
              <w:jc w:val="center"/>
              <w:rPr>
                <w:rFonts w:ascii="Times New Roman" w:hAnsi="Times New Roman" w:cs="Times New Roman"/>
                <w:sz w:val="21"/>
                <w:szCs w:val="21"/>
              </w:rPr>
            </w:pPr>
            <w:r>
              <w:rPr>
                <w:rFonts w:ascii="Times New Roman" w:hAnsi="Times New Roman" w:cs="Times New Roman"/>
                <w:spacing w:val="-5"/>
                <w:sz w:val="21"/>
                <w:szCs w:val="21"/>
              </w:rPr>
              <w:t>生命周期阶段</w:t>
            </w:r>
          </w:p>
        </w:tc>
        <w:tc>
          <w:tcPr>
            <w:tcW w:w="2277" w:type="pct"/>
            <w:noWrap w:val="0"/>
            <w:vAlign w:val="center"/>
          </w:tcPr>
          <w:p w14:paraId="65FAFB7C">
            <w:pPr>
              <w:pStyle w:val="154"/>
              <w:spacing w:line="276" w:lineRule="auto"/>
              <w:jc w:val="center"/>
              <w:rPr>
                <w:rFonts w:ascii="Times New Roman" w:hAnsi="Times New Roman" w:cs="Times New Roman"/>
                <w:sz w:val="21"/>
                <w:szCs w:val="21"/>
              </w:rPr>
            </w:pPr>
            <w:r>
              <w:rPr>
                <w:rFonts w:ascii="Times New Roman" w:hAnsi="Times New Roman" w:cs="Times New Roman"/>
                <w:spacing w:val="-3"/>
                <w:sz w:val="21"/>
                <w:szCs w:val="21"/>
              </w:rPr>
              <w:t>碳足迹（</w:t>
            </w:r>
            <w:r>
              <w:rPr>
                <w:rFonts w:ascii="Times New Roman" w:hAnsi="Times New Roman" w:eastAsia="Times New Roman" w:cs="Times New Roman"/>
                <w:spacing w:val="-3"/>
                <w:sz w:val="21"/>
                <w:szCs w:val="21"/>
              </w:rPr>
              <w:t>kg CO</w:t>
            </w:r>
            <w:r>
              <w:rPr>
                <w:rFonts w:ascii="Times New Roman" w:hAnsi="Times New Roman" w:eastAsia="Times New Roman" w:cs="Times New Roman"/>
                <w:spacing w:val="-3"/>
                <w:position w:val="-1"/>
                <w:sz w:val="21"/>
                <w:szCs w:val="21"/>
                <w:vertAlign w:val="subscript"/>
              </w:rPr>
              <w:t>2</w:t>
            </w:r>
            <w:r>
              <w:rPr>
                <w:rFonts w:ascii="Times New Roman" w:hAnsi="Times New Roman" w:eastAsia="Times New Roman" w:cs="Times New Roman"/>
                <w:spacing w:val="-3"/>
                <w:sz w:val="21"/>
                <w:szCs w:val="21"/>
              </w:rPr>
              <w:t>e/</w:t>
            </w:r>
            <w:r>
              <w:rPr>
                <w:rFonts w:ascii="Times New Roman" w:hAnsi="Times New Roman" w:cs="Times New Roman"/>
                <w:spacing w:val="-3"/>
                <w:sz w:val="21"/>
                <w:szCs w:val="21"/>
              </w:rPr>
              <w:t>功能单位</w:t>
            </w:r>
            <w:r>
              <w:rPr>
                <w:rFonts w:ascii="Times New Roman" w:hAnsi="Times New Roman" w:cs="Times New Roman"/>
                <w:spacing w:val="-3"/>
                <w:sz w:val="21"/>
                <w:szCs w:val="21"/>
                <w:lang w:eastAsia="zh-CN"/>
              </w:rPr>
              <w:t>（声明单位）</w:t>
            </w:r>
            <w:r>
              <w:rPr>
                <w:rFonts w:ascii="Times New Roman" w:hAnsi="Times New Roman" w:cs="Times New Roman"/>
                <w:spacing w:val="-3"/>
                <w:sz w:val="21"/>
                <w:szCs w:val="21"/>
              </w:rPr>
              <w:t>）</w:t>
            </w:r>
          </w:p>
        </w:tc>
        <w:tc>
          <w:tcPr>
            <w:tcW w:w="1005" w:type="pct"/>
            <w:noWrap w:val="0"/>
            <w:vAlign w:val="center"/>
          </w:tcPr>
          <w:p w14:paraId="13964A4A">
            <w:pPr>
              <w:pStyle w:val="154"/>
              <w:spacing w:line="276" w:lineRule="auto"/>
              <w:jc w:val="center"/>
              <w:rPr>
                <w:rFonts w:ascii="Times New Roman" w:hAnsi="Times New Roman" w:cs="Times New Roman"/>
                <w:sz w:val="21"/>
                <w:szCs w:val="21"/>
              </w:rPr>
            </w:pPr>
            <w:r>
              <w:rPr>
                <w:rFonts w:ascii="Times New Roman" w:hAnsi="Times New Roman" w:cs="Times New Roman"/>
                <w:spacing w:val="-7"/>
                <w:sz w:val="21"/>
                <w:szCs w:val="21"/>
              </w:rPr>
              <w:t>百分比（</w:t>
            </w:r>
            <w:r>
              <w:rPr>
                <w:rFonts w:ascii="Times New Roman" w:hAnsi="Times New Roman" w:eastAsia="Times New Roman" w:cs="Times New Roman"/>
                <w:spacing w:val="-7"/>
                <w:sz w:val="21"/>
                <w:szCs w:val="21"/>
              </w:rPr>
              <w:t>%</w:t>
            </w:r>
            <w:r>
              <w:rPr>
                <w:rFonts w:ascii="Times New Roman" w:hAnsi="Times New Roman" w:cs="Times New Roman"/>
                <w:spacing w:val="-7"/>
                <w:sz w:val="21"/>
                <w:szCs w:val="21"/>
              </w:rPr>
              <w:t>）</w:t>
            </w:r>
          </w:p>
        </w:tc>
      </w:tr>
      <w:tr w14:paraId="608D80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716" w:type="pct"/>
            <w:noWrap w:val="0"/>
            <w:vAlign w:val="center"/>
          </w:tcPr>
          <w:p w14:paraId="5DB604C9">
            <w:pPr>
              <w:pStyle w:val="154"/>
              <w:spacing w:line="276" w:lineRule="auto"/>
              <w:jc w:val="center"/>
              <w:rPr>
                <w:rFonts w:ascii="Times New Roman" w:hAnsi="Times New Roman" w:cs="Times New Roman"/>
                <w:sz w:val="21"/>
                <w:szCs w:val="21"/>
              </w:rPr>
            </w:pPr>
            <w:r>
              <w:rPr>
                <w:rFonts w:ascii="Times New Roman" w:hAnsi="Times New Roman" w:cs="Times New Roman"/>
                <w:spacing w:val="-6"/>
                <w:sz w:val="21"/>
                <w:szCs w:val="21"/>
                <w:lang w:eastAsia="zh-CN"/>
              </w:rPr>
              <w:t>原料获取阶段</w:t>
            </w:r>
            <w:r>
              <w:rPr>
                <w:rFonts w:hint="eastAsia" w:ascii="Times New Roman" w:hAnsi="Times New Roman" w:cs="Times New Roman"/>
                <w:spacing w:val="-6"/>
                <w:sz w:val="21"/>
                <w:szCs w:val="21"/>
                <w:lang w:eastAsia="zh-CN"/>
              </w:rPr>
              <w:t>（</w:t>
            </w:r>
            <w:r>
              <w:rPr>
                <w:rFonts w:hint="eastAsia" w:ascii="Times New Roman" w:hAnsi="Times New Roman" w:cs="Times New Roman"/>
                <w:spacing w:val="-6"/>
                <w:sz w:val="21"/>
                <w:szCs w:val="21"/>
                <w:lang w:val="en-US" w:eastAsia="zh-CN"/>
              </w:rPr>
              <w:t>A</w:t>
            </w:r>
            <w:r>
              <w:rPr>
                <w:rFonts w:hint="eastAsia" w:ascii="Times New Roman" w:hAnsi="Times New Roman" w:cs="Times New Roman"/>
                <w:spacing w:val="-6"/>
                <w:sz w:val="21"/>
                <w:szCs w:val="21"/>
                <w:lang w:eastAsia="zh-CN"/>
              </w:rPr>
              <w:t>）</w:t>
            </w:r>
          </w:p>
        </w:tc>
        <w:tc>
          <w:tcPr>
            <w:tcW w:w="2277" w:type="pct"/>
            <w:noWrap w:val="0"/>
            <w:vAlign w:val="center"/>
          </w:tcPr>
          <w:p w14:paraId="5E2BE975">
            <w:pPr>
              <w:spacing w:line="276" w:lineRule="auto"/>
              <w:jc w:val="center"/>
              <w:rPr>
                <w:szCs w:val="21"/>
              </w:rPr>
            </w:pPr>
          </w:p>
        </w:tc>
        <w:tc>
          <w:tcPr>
            <w:tcW w:w="1005" w:type="pct"/>
            <w:noWrap w:val="0"/>
            <w:vAlign w:val="center"/>
          </w:tcPr>
          <w:p w14:paraId="1B5D86B9">
            <w:pPr>
              <w:spacing w:line="276" w:lineRule="auto"/>
              <w:jc w:val="center"/>
              <w:rPr>
                <w:szCs w:val="21"/>
              </w:rPr>
            </w:pPr>
          </w:p>
        </w:tc>
      </w:tr>
      <w:tr w14:paraId="513453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716" w:type="pct"/>
            <w:noWrap w:val="0"/>
            <w:vAlign w:val="center"/>
          </w:tcPr>
          <w:p w14:paraId="763BD0FE">
            <w:pPr>
              <w:pStyle w:val="154"/>
              <w:spacing w:line="276" w:lineRule="auto"/>
              <w:jc w:val="center"/>
              <w:rPr>
                <w:rFonts w:ascii="Times New Roman" w:hAnsi="Times New Roman" w:cs="Times New Roman"/>
                <w:sz w:val="21"/>
                <w:szCs w:val="21"/>
              </w:rPr>
            </w:pPr>
            <w:r>
              <w:rPr>
                <w:rFonts w:ascii="Times New Roman" w:hAnsi="Times New Roman" w:cs="Times New Roman"/>
                <w:spacing w:val="-6"/>
                <w:sz w:val="21"/>
                <w:szCs w:val="21"/>
                <w:lang w:eastAsia="zh-CN"/>
              </w:rPr>
              <w:t>产品生产阶段</w:t>
            </w:r>
            <w:r>
              <w:rPr>
                <w:rFonts w:hint="eastAsia" w:ascii="Times New Roman" w:hAnsi="Times New Roman" w:cs="Times New Roman"/>
                <w:spacing w:val="-6"/>
                <w:sz w:val="21"/>
                <w:szCs w:val="21"/>
                <w:lang w:eastAsia="zh-CN"/>
              </w:rPr>
              <w:t>（</w:t>
            </w:r>
            <w:r>
              <w:rPr>
                <w:rFonts w:hint="eastAsia" w:ascii="Times New Roman" w:hAnsi="Times New Roman" w:cs="Times New Roman"/>
                <w:spacing w:val="-6"/>
                <w:sz w:val="21"/>
                <w:szCs w:val="21"/>
                <w:lang w:val="en-US" w:eastAsia="zh-CN"/>
              </w:rPr>
              <w:t>B</w:t>
            </w:r>
            <w:r>
              <w:rPr>
                <w:rFonts w:hint="eastAsia" w:ascii="Times New Roman" w:hAnsi="Times New Roman" w:cs="Times New Roman"/>
                <w:spacing w:val="-6"/>
                <w:sz w:val="21"/>
                <w:szCs w:val="21"/>
                <w:lang w:eastAsia="zh-CN"/>
              </w:rPr>
              <w:t>）</w:t>
            </w:r>
          </w:p>
        </w:tc>
        <w:tc>
          <w:tcPr>
            <w:tcW w:w="2277" w:type="pct"/>
            <w:noWrap w:val="0"/>
            <w:vAlign w:val="center"/>
          </w:tcPr>
          <w:p w14:paraId="7132A457">
            <w:pPr>
              <w:spacing w:line="276" w:lineRule="auto"/>
              <w:jc w:val="center"/>
              <w:rPr>
                <w:szCs w:val="21"/>
              </w:rPr>
            </w:pPr>
          </w:p>
        </w:tc>
        <w:tc>
          <w:tcPr>
            <w:tcW w:w="1005" w:type="pct"/>
            <w:noWrap w:val="0"/>
            <w:vAlign w:val="center"/>
          </w:tcPr>
          <w:p w14:paraId="4E56FA57">
            <w:pPr>
              <w:spacing w:line="276" w:lineRule="auto"/>
              <w:jc w:val="center"/>
              <w:rPr>
                <w:szCs w:val="21"/>
              </w:rPr>
            </w:pPr>
          </w:p>
        </w:tc>
      </w:tr>
      <w:tr w14:paraId="3F8794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716" w:type="pct"/>
            <w:noWrap w:val="0"/>
            <w:vAlign w:val="center"/>
          </w:tcPr>
          <w:p w14:paraId="61E9379D">
            <w:pPr>
              <w:pStyle w:val="154"/>
              <w:spacing w:line="276" w:lineRule="auto"/>
              <w:jc w:val="center"/>
              <w:rPr>
                <w:rFonts w:ascii="Times New Roman" w:hAnsi="Times New Roman" w:cs="Times New Roman"/>
                <w:sz w:val="21"/>
                <w:szCs w:val="21"/>
              </w:rPr>
            </w:pPr>
            <w:r>
              <w:rPr>
                <w:rFonts w:ascii="Times New Roman" w:hAnsi="Times New Roman" w:cs="Times New Roman"/>
                <w:spacing w:val="-6"/>
                <w:sz w:val="21"/>
                <w:szCs w:val="21"/>
                <w:lang w:eastAsia="zh-CN"/>
              </w:rPr>
              <w:t>产品分销阶段</w:t>
            </w:r>
            <w:r>
              <w:rPr>
                <w:rFonts w:hint="eastAsia" w:ascii="Times New Roman" w:hAnsi="Times New Roman" w:cs="Times New Roman"/>
                <w:spacing w:val="-6"/>
                <w:sz w:val="21"/>
                <w:szCs w:val="21"/>
                <w:lang w:eastAsia="zh-CN"/>
              </w:rPr>
              <w:t>（</w:t>
            </w:r>
            <w:r>
              <w:rPr>
                <w:rFonts w:hint="eastAsia" w:ascii="Times New Roman" w:hAnsi="Times New Roman" w:cs="Times New Roman"/>
                <w:spacing w:val="-6"/>
                <w:sz w:val="21"/>
                <w:szCs w:val="21"/>
                <w:lang w:val="en-US" w:eastAsia="zh-CN"/>
              </w:rPr>
              <w:t>C</w:t>
            </w:r>
            <w:r>
              <w:rPr>
                <w:rFonts w:hint="eastAsia" w:ascii="Times New Roman" w:hAnsi="Times New Roman" w:cs="Times New Roman"/>
                <w:spacing w:val="-6"/>
                <w:sz w:val="21"/>
                <w:szCs w:val="21"/>
                <w:lang w:eastAsia="zh-CN"/>
              </w:rPr>
              <w:t>）</w:t>
            </w:r>
          </w:p>
        </w:tc>
        <w:tc>
          <w:tcPr>
            <w:tcW w:w="2277" w:type="pct"/>
            <w:noWrap w:val="0"/>
            <w:vAlign w:val="center"/>
          </w:tcPr>
          <w:p w14:paraId="2F408E4F">
            <w:pPr>
              <w:spacing w:line="276" w:lineRule="auto"/>
              <w:jc w:val="center"/>
              <w:rPr>
                <w:szCs w:val="21"/>
              </w:rPr>
            </w:pPr>
          </w:p>
        </w:tc>
        <w:tc>
          <w:tcPr>
            <w:tcW w:w="1005" w:type="pct"/>
            <w:noWrap w:val="0"/>
            <w:vAlign w:val="center"/>
          </w:tcPr>
          <w:p w14:paraId="165DDC10">
            <w:pPr>
              <w:spacing w:line="276" w:lineRule="auto"/>
              <w:jc w:val="center"/>
              <w:rPr>
                <w:szCs w:val="21"/>
              </w:rPr>
            </w:pPr>
          </w:p>
        </w:tc>
      </w:tr>
      <w:tr w14:paraId="6340DA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716" w:type="pct"/>
            <w:noWrap w:val="0"/>
            <w:vAlign w:val="center"/>
          </w:tcPr>
          <w:p w14:paraId="145886B3">
            <w:pPr>
              <w:pStyle w:val="154"/>
              <w:spacing w:line="276" w:lineRule="auto"/>
              <w:jc w:val="center"/>
              <w:rPr>
                <w:rFonts w:ascii="Times New Roman" w:hAnsi="Times New Roman" w:cs="Times New Roman"/>
                <w:sz w:val="21"/>
                <w:szCs w:val="21"/>
              </w:rPr>
            </w:pPr>
            <w:r>
              <w:rPr>
                <w:rFonts w:hint="eastAsia" w:ascii="Times New Roman" w:hAnsi="Times New Roman" w:cs="Times New Roman"/>
                <w:spacing w:val="-6"/>
                <w:sz w:val="21"/>
                <w:szCs w:val="21"/>
                <w:lang w:val="en-US" w:eastAsia="zh-CN"/>
              </w:rPr>
              <w:t>施工</w:t>
            </w:r>
            <w:r>
              <w:rPr>
                <w:rFonts w:ascii="Times New Roman" w:hAnsi="Times New Roman" w:cs="Times New Roman"/>
                <w:spacing w:val="-6"/>
                <w:sz w:val="21"/>
                <w:szCs w:val="21"/>
                <w:lang w:eastAsia="zh-CN"/>
              </w:rPr>
              <w:t>使用阶段</w:t>
            </w:r>
            <w:r>
              <w:rPr>
                <w:rFonts w:hint="eastAsia" w:ascii="Times New Roman" w:hAnsi="Times New Roman" w:cs="Times New Roman"/>
                <w:spacing w:val="-6"/>
                <w:sz w:val="21"/>
                <w:szCs w:val="21"/>
                <w:lang w:eastAsia="zh-CN"/>
              </w:rPr>
              <w:t>（</w:t>
            </w:r>
            <w:r>
              <w:rPr>
                <w:rFonts w:hint="eastAsia" w:ascii="Times New Roman" w:hAnsi="Times New Roman" w:cs="Times New Roman"/>
                <w:spacing w:val="-6"/>
                <w:sz w:val="21"/>
                <w:szCs w:val="21"/>
                <w:lang w:val="en-US" w:eastAsia="zh-CN"/>
              </w:rPr>
              <w:t>D</w:t>
            </w:r>
            <w:r>
              <w:rPr>
                <w:rFonts w:hint="eastAsia" w:ascii="Times New Roman" w:hAnsi="Times New Roman" w:cs="Times New Roman"/>
                <w:spacing w:val="-6"/>
                <w:sz w:val="21"/>
                <w:szCs w:val="21"/>
                <w:lang w:eastAsia="zh-CN"/>
              </w:rPr>
              <w:t>）</w:t>
            </w:r>
          </w:p>
        </w:tc>
        <w:tc>
          <w:tcPr>
            <w:tcW w:w="2277" w:type="pct"/>
            <w:noWrap w:val="0"/>
            <w:vAlign w:val="center"/>
          </w:tcPr>
          <w:p w14:paraId="31F2AAEB">
            <w:pPr>
              <w:spacing w:line="276" w:lineRule="auto"/>
              <w:jc w:val="center"/>
              <w:rPr>
                <w:szCs w:val="21"/>
              </w:rPr>
            </w:pPr>
          </w:p>
        </w:tc>
        <w:tc>
          <w:tcPr>
            <w:tcW w:w="1005" w:type="pct"/>
            <w:noWrap w:val="0"/>
            <w:vAlign w:val="center"/>
          </w:tcPr>
          <w:p w14:paraId="58967CC3">
            <w:pPr>
              <w:spacing w:line="276" w:lineRule="auto"/>
              <w:jc w:val="center"/>
              <w:rPr>
                <w:szCs w:val="21"/>
              </w:rPr>
            </w:pPr>
          </w:p>
        </w:tc>
      </w:tr>
      <w:tr w14:paraId="603309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716" w:type="pct"/>
            <w:noWrap w:val="0"/>
            <w:vAlign w:val="center"/>
          </w:tcPr>
          <w:p w14:paraId="2B9A9C93">
            <w:pPr>
              <w:pStyle w:val="154"/>
              <w:spacing w:line="276" w:lineRule="auto"/>
              <w:jc w:val="center"/>
              <w:rPr>
                <w:rFonts w:hint="eastAsia" w:ascii="Times New Roman" w:hAnsi="Times New Roman" w:eastAsia="宋体" w:cs="Times New Roman"/>
                <w:sz w:val="21"/>
                <w:szCs w:val="21"/>
                <w:lang w:eastAsia="zh-CN"/>
              </w:rPr>
            </w:pPr>
            <w:r>
              <w:rPr>
                <w:rFonts w:ascii="Times New Roman" w:hAnsi="Times New Roman" w:cs="Times New Roman"/>
                <w:spacing w:val="-5"/>
                <w:sz w:val="21"/>
                <w:szCs w:val="21"/>
              </w:rPr>
              <w:t>生命末期</w:t>
            </w:r>
            <w:r>
              <w:rPr>
                <w:rFonts w:hint="eastAsia" w:ascii="Times New Roman" w:hAnsi="Times New Roman" w:cs="Times New Roman"/>
                <w:spacing w:val="-5"/>
                <w:sz w:val="21"/>
                <w:szCs w:val="21"/>
                <w:lang w:eastAsia="zh-CN"/>
              </w:rPr>
              <w:t>（</w:t>
            </w:r>
            <w:r>
              <w:rPr>
                <w:rFonts w:hint="eastAsia" w:ascii="Times New Roman" w:hAnsi="Times New Roman" w:cs="Times New Roman"/>
                <w:spacing w:val="-5"/>
                <w:sz w:val="21"/>
                <w:szCs w:val="21"/>
                <w:lang w:val="en-US" w:eastAsia="zh-CN"/>
              </w:rPr>
              <w:t>E</w:t>
            </w:r>
            <w:r>
              <w:rPr>
                <w:rFonts w:hint="eastAsia" w:ascii="Times New Roman" w:hAnsi="Times New Roman" w:cs="Times New Roman"/>
                <w:spacing w:val="-5"/>
                <w:sz w:val="21"/>
                <w:szCs w:val="21"/>
                <w:lang w:eastAsia="zh-CN"/>
              </w:rPr>
              <w:t>）</w:t>
            </w:r>
          </w:p>
        </w:tc>
        <w:tc>
          <w:tcPr>
            <w:tcW w:w="2277" w:type="pct"/>
            <w:noWrap w:val="0"/>
            <w:vAlign w:val="center"/>
          </w:tcPr>
          <w:p w14:paraId="6980D224">
            <w:pPr>
              <w:spacing w:line="276" w:lineRule="auto"/>
              <w:jc w:val="center"/>
              <w:rPr>
                <w:szCs w:val="21"/>
              </w:rPr>
            </w:pPr>
          </w:p>
        </w:tc>
        <w:tc>
          <w:tcPr>
            <w:tcW w:w="1005" w:type="pct"/>
            <w:noWrap w:val="0"/>
            <w:vAlign w:val="center"/>
          </w:tcPr>
          <w:p w14:paraId="74D2D7A2">
            <w:pPr>
              <w:spacing w:line="276" w:lineRule="auto"/>
              <w:jc w:val="center"/>
              <w:rPr>
                <w:szCs w:val="21"/>
              </w:rPr>
            </w:pPr>
          </w:p>
        </w:tc>
      </w:tr>
      <w:tr w14:paraId="45CF46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716" w:type="pct"/>
            <w:noWrap w:val="0"/>
            <w:vAlign w:val="center"/>
          </w:tcPr>
          <w:p w14:paraId="1B0983EF">
            <w:pPr>
              <w:pStyle w:val="154"/>
              <w:spacing w:line="276" w:lineRule="auto"/>
              <w:jc w:val="center"/>
              <w:rPr>
                <w:rFonts w:ascii="Times New Roman" w:hAnsi="Times New Roman" w:cs="Times New Roman"/>
                <w:sz w:val="21"/>
                <w:szCs w:val="21"/>
              </w:rPr>
            </w:pPr>
            <w:r>
              <w:rPr>
                <w:rFonts w:ascii="Times New Roman" w:hAnsi="Times New Roman" w:cs="Times New Roman"/>
                <w:spacing w:val="-6"/>
                <w:sz w:val="21"/>
                <w:szCs w:val="21"/>
              </w:rPr>
              <w:t>总计</w:t>
            </w:r>
          </w:p>
        </w:tc>
        <w:tc>
          <w:tcPr>
            <w:tcW w:w="2277" w:type="pct"/>
            <w:noWrap w:val="0"/>
            <w:vAlign w:val="center"/>
          </w:tcPr>
          <w:p w14:paraId="4B56140E">
            <w:pPr>
              <w:spacing w:line="276" w:lineRule="auto"/>
              <w:jc w:val="center"/>
              <w:rPr>
                <w:szCs w:val="21"/>
              </w:rPr>
            </w:pPr>
          </w:p>
        </w:tc>
        <w:tc>
          <w:tcPr>
            <w:tcW w:w="1005" w:type="pct"/>
            <w:noWrap w:val="0"/>
            <w:vAlign w:val="center"/>
          </w:tcPr>
          <w:p w14:paraId="127935B6">
            <w:pPr>
              <w:spacing w:line="276" w:lineRule="auto"/>
              <w:jc w:val="center"/>
              <w:rPr>
                <w:szCs w:val="21"/>
              </w:rPr>
            </w:pPr>
          </w:p>
        </w:tc>
      </w:tr>
    </w:tbl>
    <w:p w14:paraId="17A3D4D3">
      <w:pPr>
        <w:widowControl/>
        <w:tabs>
          <w:tab w:val="left" w:pos="0"/>
        </w:tabs>
        <w:adjustRightInd w:val="0"/>
        <w:snapToGrid w:val="0"/>
        <w:spacing w:line="360" w:lineRule="exact"/>
        <w:jc w:val="center"/>
        <w:rPr>
          <w:rFonts w:eastAsia="黑体"/>
          <w:kern w:val="0"/>
          <w:szCs w:val="20"/>
        </w:rPr>
      </w:pPr>
    </w:p>
    <w:p w14:paraId="14A93E18">
      <w:pPr>
        <w:widowControl/>
        <w:tabs>
          <w:tab w:val="left" w:pos="0"/>
        </w:tabs>
        <w:adjustRightInd w:val="0"/>
        <w:snapToGrid w:val="0"/>
        <w:spacing w:line="360" w:lineRule="exact"/>
        <w:jc w:val="center"/>
        <w:rPr>
          <w:rFonts w:eastAsia="黑体"/>
          <w:kern w:val="0"/>
          <w:szCs w:val="20"/>
        </w:rPr>
      </w:pPr>
      <w:r>
        <w:rPr>
          <w:rFonts w:eastAsia="黑体"/>
          <w:kern w:val="0"/>
          <w:szCs w:val="20"/>
        </w:rPr>
        <w:t xml:space="preserve">图2  </w:t>
      </w:r>
      <w:r>
        <w:rPr>
          <w:rFonts w:hint="eastAsia" w:eastAsia="黑体"/>
          <w:kern w:val="0"/>
          <w:szCs w:val="20"/>
        </w:rPr>
        <w:t>XX</w:t>
      </w:r>
      <w:r>
        <w:rPr>
          <w:rFonts w:eastAsia="黑体"/>
          <w:kern w:val="0"/>
          <w:szCs w:val="20"/>
        </w:rPr>
        <w:t>产品各生命周期阶段碳排放分布图</w:t>
      </w:r>
    </w:p>
    <w:p w14:paraId="1E298735">
      <w:pPr>
        <w:adjustRightInd w:val="0"/>
        <w:snapToGrid w:val="0"/>
        <w:spacing w:line="360" w:lineRule="exact"/>
        <w:ind w:left="420" w:leftChars="200" w:right="420" w:rightChars="200" w:firstLine="456" w:firstLineChars="200"/>
        <w:rPr>
          <w:spacing w:val="9"/>
          <w:szCs w:val="21"/>
        </w:rPr>
      </w:pPr>
      <w:r>
        <w:rPr>
          <w:rFonts w:ascii="黑体" w:hAnsi="黑体" w:eastAsia="黑体"/>
          <w:spacing w:val="9"/>
          <w:szCs w:val="21"/>
        </w:rPr>
        <w:t>注：</w:t>
      </w:r>
      <w:r>
        <w:rPr>
          <w:spacing w:val="9"/>
          <w:szCs w:val="21"/>
        </w:rPr>
        <w:t>具体产品生命周期阶段碳排放分布图一般以饼状图或是柱形图表示各生命周期阶段的碳排放情况。</w:t>
      </w:r>
    </w:p>
    <w:p w14:paraId="106FF5EF">
      <w:pPr>
        <w:adjustRightInd w:val="0"/>
        <w:snapToGrid w:val="0"/>
        <w:spacing w:before="156" w:beforeLines="50" w:after="156" w:afterLines="50" w:line="360" w:lineRule="exact"/>
        <w:ind w:left="420" w:leftChars="200"/>
        <w:rPr>
          <w:rFonts w:eastAsia="黑体"/>
          <w:sz w:val="22"/>
          <w:szCs w:val="22"/>
        </w:rPr>
      </w:pPr>
      <w:bookmarkStart w:id="107" w:name="_Toc4721"/>
      <w:bookmarkStart w:id="108" w:name="_Toc19327"/>
      <w:bookmarkStart w:id="109" w:name="_Toc21214"/>
      <w:r>
        <w:rPr>
          <w:rFonts w:eastAsia="黑体"/>
          <w:sz w:val="22"/>
          <w:szCs w:val="22"/>
        </w:rPr>
        <w:t>2、假设和局限性说明（可选项）</w:t>
      </w:r>
      <w:bookmarkEnd w:id="107"/>
      <w:bookmarkEnd w:id="108"/>
      <w:bookmarkEnd w:id="109"/>
    </w:p>
    <w:p w14:paraId="0FBDA362">
      <w:pPr>
        <w:tabs>
          <w:tab w:val="left" w:pos="1310"/>
        </w:tabs>
        <w:adjustRightInd w:val="0"/>
        <w:snapToGrid w:val="0"/>
        <w:spacing w:line="360" w:lineRule="exact"/>
        <w:ind w:left="420" w:leftChars="200" w:right="420" w:rightChars="200" w:firstLine="468" w:firstLineChars="200"/>
        <w:rPr>
          <w:spacing w:val="12"/>
          <w:szCs w:val="21"/>
        </w:rPr>
      </w:pPr>
      <w:r>
        <w:rPr>
          <w:spacing w:val="12"/>
          <w:szCs w:val="21"/>
        </w:rPr>
        <w:t>结合量化情况，对范围、数据选择、情景设定等相关的假设和局限进行说明。</w:t>
      </w:r>
    </w:p>
    <w:p w14:paraId="7B9F8180">
      <w:pPr>
        <w:adjustRightInd w:val="0"/>
        <w:snapToGrid w:val="0"/>
        <w:spacing w:before="156" w:beforeLines="50" w:after="156" w:afterLines="50" w:line="360" w:lineRule="exact"/>
        <w:ind w:left="420" w:leftChars="200"/>
        <w:rPr>
          <w:rFonts w:eastAsia="黑体"/>
          <w:sz w:val="22"/>
          <w:szCs w:val="22"/>
        </w:rPr>
      </w:pPr>
      <w:r>
        <w:rPr>
          <w:rFonts w:hint="eastAsia" w:eastAsia="黑体"/>
          <w:sz w:val="22"/>
          <w:szCs w:val="22"/>
        </w:rPr>
        <w:t>3、</w:t>
      </w:r>
      <w:r>
        <w:rPr>
          <w:rFonts w:eastAsia="黑体"/>
          <w:sz w:val="22"/>
          <w:szCs w:val="22"/>
        </w:rPr>
        <w:t>改进建议</w:t>
      </w:r>
    </w:p>
    <w:p w14:paraId="7F434FA6">
      <w:pPr>
        <w:adjustRightInd w:val="0"/>
        <w:snapToGrid w:val="0"/>
        <w:spacing w:before="156" w:beforeLines="50" w:after="156" w:afterLines="50" w:line="360" w:lineRule="exact"/>
        <w:ind w:left="420" w:leftChars="200"/>
        <w:rPr>
          <w:rFonts w:eastAsia="黑体"/>
          <w:sz w:val="22"/>
          <w:szCs w:val="22"/>
        </w:rPr>
      </w:pPr>
      <w:r>
        <w:rPr>
          <w:rFonts w:hint="eastAsia" w:eastAsia="黑体"/>
          <w:sz w:val="22"/>
          <w:szCs w:val="22"/>
        </w:rPr>
        <w:t>4、产品碳足迹绩效追踪（如有）</w:t>
      </w:r>
    </w:p>
    <w:p w14:paraId="40025E4A">
      <w:pPr>
        <w:adjustRightInd w:val="0"/>
        <w:snapToGrid w:val="0"/>
        <w:spacing w:line="360" w:lineRule="exact"/>
        <w:ind w:left="420" w:leftChars="200" w:right="420" w:rightChars="200" w:firstLine="456" w:firstLineChars="200"/>
        <w:rPr>
          <w:spacing w:val="9"/>
          <w:szCs w:val="21"/>
        </w:rPr>
      </w:pPr>
    </w:p>
    <w:p w14:paraId="49EEA390">
      <w:pPr>
        <w:adjustRightInd w:val="0"/>
        <w:snapToGrid w:val="0"/>
        <w:spacing w:before="156" w:beforeLines="50" w:after="156" w:afterLines="50" w:line="360" w:lineRule="exact"/>
        <w:ind w:left="420" w:leftChars="200"/>
        <w:rPr>
          <w:rFonts w:eastAsia="黑体"/>
          <w:sz w:val="22"/>
          <w:szCs w:val="22"/>
        </w:rPr>
        <w:sectPr>
          <w:footerReference r:id="rId16" w:type="default"/>
          <w:pgSz w:w="11906" w:h="16838"/>
          <w:pgMar w:top="1134" w:right="1134" w:bottom="1134" w:left="1134" w:header="850" w:footer="850" w:gutter="0"/>
          <w:cols w:space="425" w:num="1"/>
          <w:formProt w:val="0"/>
          <w:titlePg/>
          <w:docGrid w:type="linesAndChars" w:linePitch="312" w:charSpace="0"/>
        </w:sectPr>
      </w:pPr>
    </w:p>
    <w:p w14:paraId="2DAF4044">
      <w:pPr>
        <w:adjustRightInd w:val="0"/>
        <w:snapToGrid w:val="0"/>
        <w:spacing w:before="156" w:beforeLines="50" w:after="156" w:afterLines="50" w:line="360" w:lineRule="exact"/>
        <w:jc w:val="center"/>
        <w:outlineLvl w:val="0"/>
        <w:rPr>
          <w:rFonts w:ascii="黑体" w:hAnsi="宋体" w:eastAsia="黑体"/>
          <w:sz w:val="28"/>
          <w:szCs w:val="32"/>
        </w:rPr>
      </w:pPr>
      <w:bookmarkStart w:id="110" w:name="_Toc28765"/>
      <w:bookmarkStart w:id="111" w:name="_Toc180780464"/>
      <w:r>
        <w:rPr>
          <w:rFonts w:hint="eastAsia" w:ascii="黑体" w:hAnsi="宋体" w:eastAsia="黑体"/>
          <w:sz w:val="28"/>
          <w:szCs w:val="32"/>
        </w:rPr>
        <w:t>参考文献</w:t>
      </w:r>
      <w:bookmarkEnd w:id="110"/>
      <w:bookmarkEnd w:id="111"/>
    </w:p>
    <w:p w14:paraId="41A7C45A">
      <w:pPr>
        <w:numPr>
          <w:ilvl w:val="0"/>
          <w:numId w:val="25"/>
        </w:numPr>
        <w:adjustRightInd w:val="0"/>
        <w:snapToGrid w:val="0"/>
        <w:spacing w:line="360" w:lineRule="exact"/>
        <w:rPr>
          <w:rFonts w:hint="default" w:ascii="Times New Roman" w:hAnsi="Times New Roman" w:eastAsia="Times New Roman" w:cs="Times New Roman"/>
          <w:szCs w:val="21"/>
          <w:lang w:val="en-US" w:eastAsia="zh-CN"/>
        </w:rPr>
      </w:pPr>
      <w:r>
        <w:rPr>
          <w:rFonts w:hint="eastAsia" w:ascii="Times New Roman" w:hAnsi="Times New Roman" w:eastAsia="Times New Roman" w:cs="Times New Roman"/>
          <w:szCs w:val="21"/>
          <w:lang w:val="en-US" w:eastAsia="zh-CN"/>
        </w:rPr>
        <w:t>GB/T 9755合成树脂乳液墙面涂料</w:t>
      </w:r>
    </w:p>
    <w:p w14:paraId="3FDCBF4B">
      <w:pPr>
        <w:numPr>
          <w:ilvl w:val="0"/>
          <w:numId w:val="25"/>
        </w:numPr>
        <w:adjustRightInd w:val="0"/>
        <w:snapToGrid w:val="0"/>
        <w:spacing w:line="360" w:lineRule="exact"/>
        <w:rPr>
          <w:rFonts w:hint="eastAsia" w:ascii="Times New Roman" w:hAnsi="Times New Roman" w:eastAsia="Times New Roman" w:cs="Times New Roman"/>
          <w:szCs w:val="21"/>
          <w:lang w:val="en-US" w:eastAsia="zh-CN"/>
        </w:rPr>
      </w:pPr>
      <w:r>
        <w:rPr>
          <w:rFonts w:hint="eastAsia" w:ascii="Times New Roman" w:hAnsi="Times New Roman" w:eastAsia="Times New Roman" w:cs="Times New Roman"/>
          <w:szCs w:val="21"/>
          <w:lang w:val="en-US" w:eastAsia="zh-CN"/>
        </w:rPr>
        <w:t>GB/T 9779复层建筑涂料</w:t>
      </w:r>
    </w:p>
    <w:p w14:paraId="5E463A62">
      <w:pPr>
        <w:numPr>
          <w:ilvl w:val="0"/>
          <w:numId w:val="25"/>
        </w:numPr>
        <w:adjustRightInd w:val="0"/>
        <w:snapToGrid w:val="0"/>
        <w:spacing w:line="360" w:lineRule="exact"/>
        <w:rPr>
          <w:rFonts w:hint="default" w:ascii="Times New Roman" w:hAnsi="Times New Roman" w:eastAsia="Times New Roman" w:cs="Times New Roman"/>
          <w:szCs w:val="21"/>
          <w:lang w:val="en-US" w:eastAsia="zh-CN"/>
        </w:rPr>
      </w:pPr>
      <w:r>
        <w:rPr>
          <w:rFonts w:hint="eastAsia" w:ascii="Times New Roman" w:hAnsi="Times New Roman" w:eastAsia="Times New Roman" w:cs="Times New Roman"/>
          <w:szCs w:val="21"/>
          <w:lang w:val="en-US" w:eastAsia="zh-CN"/>
        </w:rPr>
        <w:t>GB/T 24676</w:t>
      </w:r>
      <w:r>
        <w:rPr>
          <w:rFonts w:hint="default" w:ascii="Times New Roman" w:hAnsi="Times New Roman" w:eastAsia="Times New Roman" w:cs="Times New Roman"/>
          <w:szCs w:val="21"/>
          <w:lang w:val="en-US" w:eastAsia="zh-CN"/>
        </w:rPr>
        <w:t>儿童房装饰用内墙涂料</w:t>
      </w:r>
    </w:p>
    <w:p w14:paraId="39E8DDD5">
      <w:pPr>
        <w:numPr>
          <w:ilvl w:val="0"/>
          <w:numId w:val="25"/>
        </w:numPr>
        <w:adjustRightInd w:val="0"/>
        <w:snapToGrid w:val="0"/>
        <w:spacing w:line="360" w:lineRule="exact"/>
        <w:rPr>
          <w:rFonts w:hint="eastAsia" w:ascii="Times New Roman" w:hAnsi="Times New Roman" w:eastAsia="Times New Roman" w:cs="Times New Roman"/>
          <w:szCs w:val="21"/>
          <w:lang w:val="en-US" w:eastAsia="zh-CN"/>
        </w:rPr>
      </w:pPr>
      <w:r>
        <w:rPr>
          <w:rFonts w:hint="eastAsia" w:ascii="Times New Roman" w:hAnsi="Times New Roman" w:eastAsia="Times New Roman" w:cs="Times New Roman"/>
          <w:szCs w:val="21"/>
          <w:lang w:val="en-US" w:eastAsia="zh-CN"/>
        </w:rPr>
        <w:t>GB/T 25261</w:t>
      </w:r>
      <w:r>
        <w:rPr>
          <w:rFonts w:hint="default" w:ascii="Times New Roman" w:hAnsi="Times New Roman" w:eastAsia="Times New Roman" w:cs="Times New Roman"/>
          <w:szCs w:val="21"/>
          <w:lang w:val="en-US" w:eastAsia="zh-CN"/>
        </w:rPr>
        <w:t>建筑用反射隔热涂料</w:t>
      </w:r>
    </w:p>
    <w:p w14:paraId="3C4D9B7A">
      <w:pPr>
        <w:numPr>
          <w:ilvl w:val="0"/>
          <w:numId w:val="25"/>
        </w:numPr>
        <w:adjustRightInd w:val="0"/>
        <w:snapToGrid w:val="0"/>
        <w:spacing w:line="360" w:lineRule="exact"/>
        <w:rPr>
          <w:rFonts w:hint="default" w:ascii="Times New Roman" w:hAnsi="Times New Roman" w:eastAsia="Times New Roman" w:cs="Times New Roman"/>
          <w:szCs w:val="21"/>
          <w:lang w:val="en-US" w:eastAsia="zh-CN"/>
        </w:rPr>
      </w:pPr>
      <w:r>
        <w:rPr>
          <w:rFonts w:hint="eastAsia" w:ascii="Times New Roman" w:hAnsi="Times New Roman" w:eastAsia="Times New Roman" w:cs="Times New Roman"/>
          <w:szCs w:val="21"/>
          <w:lang w:val="en-US" w:eastAsia="zh-CN"/>
        </w:rPr>
        <w:t>GB/T 31815</w:t>
      </w:r>
      <w:r>
        <w:rPr>
          <w:rFonts w:hint="default" w:ascii="Times New Roman" w:hAnsi="Times New Roman" w:eastAsia="Times New Roman" w:cs="Times New Roman"/>
          <w:szCs w:val="21"/>
          <w:lang w:val="en-US" w:eastAsia="zh-CN"/>
        </w:rPr>
        <w:t>建筑外表面用自清洁涂料</w:t>
      </w:r>
    </w:p>
    <w:p w14:paraId="0297B980">
      <w:pPr>
        <w:numPr>
          <w:ilvl w:val="0"/>
          <w:numId w:val="25"/>
        </w:numPr>
        <w:adjustRightInd w:val="0"/>
        <w:snapToGrid w:val="0"/>
        <w:spacing w:line="360" w:lineRule="exact"/>
        <w:rPr>
          <w:rFonts w:hint="default" w:ascii="Times New Roman" w:hAnsi="Times New Roman" w:eastAsia="Times New Roman" w:cs="Times New Roman"/>
          <w:szCs w:val="21"/>
          <w:lang w:val="en-US" w:eastAsia="zh-CN"/>
        </w:rPr>
      </w:pPr>
      <w:r>
        <w:rPr>
          <w:rFonts w:hint="eastAsia" w:ascii="Times New Roman" w:hAnsi="Times New Roman" w:eastAsia="Times New Roman" w:cs="Times New Roman"/>
          <w:szCs w:val="21"/>
          <w:lang w:val="en-US" w:eastAsia="zh-CN"/>
        </w:rPr>
        <w:t>HG/T 3950</w:t>
      </w:r>
      <w:r>
        <w:rPr>
          <w:rFonts w:hint="default" w:ascii="Times New Roman" w:hAnsi="Times New Roman" w:eastAsia="Times New Roman" w:cs="Times New Roman"/>
          <w:szCs w:val="21"/>
          <w:lang w:val="en-US" w:eastAsia="zh-CN"/>
        </w:rPr>
        <w:fldChar w:fldCharType="begin"/>
      </w:r>
      <w:r>
        <w:rPr>
          <w:rFonts w:hint="default" w:ascii="Times New Roman" w:hAnsi="Times New Roman" w:eastAsia="Times New Roman" w:cs="Times New Roman"/>
          <w:szCs w:val="21"/>
          <w:lang w:val="en-US" w:eastAsia="zh-CN"/>
        </w:rPr>
        <w:instrText xml:space="preserve"> HYPERLINK "https://std.samr.gov.cn/hb/search/stdHBDetailed?id=413FD0D1A4DFEACDE06397BE0A0AD07C" \t "https://std.samr.gov.cn/search/_blank" </w:instrText>
      </w:r>
      <w:r>
        <w:rPr>
          <w:rFonts w:hint="default" w:ascii="Times New Roman" w:hAnsi="Times New Roman" w:eastAsia="Times New Roman" w:cs="Times New Roman"/>
          <w:szCs w:val="21"/>
          <w:lang w:val="en-US" w:eastAsia="zh-CN"/>
        </w:rPr>
        <w:fldChar w:fldCharType="separate"/>
      </w:r>
      <w:r>
        <w:rPr>
          <w:rFonts w:hint="default" w:ascii="Times New Roman" w:hAnsi="Times New Roman" w:eastAsia="Times New Roman" w:cs="Times New Roman"/>
          <w:szCs w:val="21"/>
          <w:lang w:val="en-US" w:eastAsia="zh-CN"/>
        </w:rPr>
        <w:t>抗菌和抗病毒涂料</w:t>
      </w:r>
      <w:r>
        <w:rPr>
          <w:rFonts w:hint="default" w:ascii="Times New Roman" w:hAnsi="Times New Roman" w:eastAsia="Times New Roman" w:cs="Times New Roman"/>
          <w:szCs w:val="21"/>
          <w:lang w:val="en-US" w:eastAsia="zh-CN"/>
        </w:rPr>
        <w:fldChar w:fldCharType="end"/>
      </w:r>
    </w:p>
    <w:p w14:paraId="5F1E7ED8">
      <w:pPr>
        <w:numPr>
          <w:ilvl w:val="0"/>
          <w:numId w:val="25"/>
        </w:numPr>
        <w:adjustRightInd w:val="0"/>
        <w:snapToGrid w:val="0"/>
        <w:spacing w:line="360" w:lineRule="exact"/>
        <w:rPr>
          <w:rFonts w:hint="default" w:ascii="Times New Roman" w:hAnsi="Times New Roman" w:eastAsia="Times New Roman" w:cs="Times New Roman"/>
          <w:szCs w:val="21"/>
          <w:lang w:val="en-US" w:eastAsia="zh-CN"/>
        </w:rPr>
      </w:pPr>
      <w:r>
        <w:rPr>
          <w:rFonts w:hint="eastAsia" w:ascii="Times New Roman" w:hAnsi="Times New Roman" w:eastAsia="Times New Roman" w:cs="Times New Roman"/>
          <w:szCs w:val="21"/>
          <w:lang w:val="en-US" w:eastAsia="zh-CN"/>
        </w:rPr>
        <w:t>HG/T 4104水性氟树脂涂料</w:t>
      </w:r>
    </w:p>
    <w:p w14:paraId="5E118D6F">
      <w:pPr>
        <w:numPr>
          <w:ilvl w:val="0"/>
          <w:numId w:val="25"/>
        </w:numPr>
        <w:adjustRightInd w:val="0"/>
        <w:snapToGrid w:val="0"/>
        <w:spacing w:line="360" w:lineRule="exact"/>
        <w:rPr>
          <w:rFonts w:hint="default" w:ascii="Times New Roman" w:hAnsi="Times New Roman" w:eastAsia="Times New Roman" w:cs="Times New Roman"/>
          <w:szCs w:val="21"/>
          <w:lang w:val="en-US" w:eastAsia="zh-CN"/>
        </w:rPr>
      </w:pPr>
      <w:r>
        <w:rPr>
          <w:rFonts w:hint="eastAsia" w:ascii="Times New Roman" w:hAnsi="Times New Roman" w:eastAsia="Times New Roman" w:cs="Times New Roman"/>
          <w:szCs w:val="21"/>
          <w:lang w:val="en-US" w:eastAsia="zh-CN"/>
        </w:rPr>
        <w:t>HG/T 4343水性多彩建筑涂料</w:t>
      </w:r>
    </w:p>
    <w:p w14:paraId="2A19E9A3">
      <w:pPr>
        <w:numPr>
          <w:ilvl w:val="0"/>
          <w:numId w:val="25"/>
        </w:numPr>
        <w:adjustRightInd w:val="0"/>
        <w:snapToGrid w:val="0"/>
        <w:spacing w:line="360" w:lineRule="exact"/>
        <w:rPr>
          <w:rFonts w:hint="default" w:ascii="Times New Roman" w:hAnsi="Times New Roman" w:eastAsia="Times New Roman" w:cs="Times New Roman"/>
          <w:szCs w:val="21"/>
          <w:lang w:val="en-US" w:eastAsia="zh-CN"/>
        </w:rPr>
      </w:pPr>
      <w:r>
        <w:rPr>
          <w:rFonts w:hint="eastAsia" w:ascii="Times New Roman" w:hAnsi="Times New Roman" w:eastAsia="Times New Roman" w:cs="Times New Roman"/>
          <w:szCs w:val="21"/>
          <w:lang w:val="en-US" w:eastAsia="zh-CN"/>
        </w:rPr>
        <w:t>HG/T 4344水性复合岩片仿花岗岩涂料</w:t>
      </w:r>
    </w:p>
    <w:p w14:paraId="7F5D0B76">
      <w:pPr>
        <w:numPr>
          <w:ilvl w:val="0"/>
          <w:numId w:val="25"/>
        </w:numPr>
        <w:adjustRightInd w:val="0"/>
        <w:snapToGrid w:val="0"/>
        <w:spacing w:line="360" w:lineRule="exact"/>
        <w:rPr>
          <w:rFonts w:hint="default" w:ascii="Times New Roman" w:hAnsi="Times New Roman" w:eastAsia="Times New Roman" w:cs="Times New Roman"/>
          <w:szCs w:val="21"/>
          <w:lang w:val="en-US" w:eastAsia="zh-CN"/>
        </w:rPr>
      </w:pPr>
      <w:r>
        <w:rPr>
          <w:rFonts w:hint="eastAsia" w:ascii="Times New Roman" w:hAnsi="Times New Roman" w:eastAsia="Times New Roman" w:cs="Times New Roman"/>
          <w:szCs w:val="21"/>
          <w:lang w:val="en-US" w:eastAsia="zh-CN"/>
        </w:rPr>
        <w:t>HG/T 4567</w:t>
      </w:r>
      <w:r>
        <w:rPr>
          <w:rFonts w:hint="default" w:ascii="Times New Roman" w:hAnsi="Times New Roman" w:eastAsia="Times New Roman" w:cs="Times New Roman"/>
          <w:szCs w:val="21"/>
          <w:lang w:val="en-US" w:eastAsia="zh-CN"/>
        </w:rPr>
        <w:t>建筑用弹性中涂漆</w:t>
      </w:r>
    </w:p>
    <w:p w14:paraId="7741CE7D">
      <w:pPr>
        <w:numPr>
          <w:ilvl w:val="0"/>
          <w:numId w:val="25"/>
        </w:numPr>
        <w:adjustRightInd w:val="0"/>
        <w:snapToGrid w:val="0"/>
        <w:spacing w:line="360" w:lineRule="exact"/>
        <w:rPr>
          <w:rFonts w:hint="default" w:ascii="Times New Roman" w:hAnsi="Times New Roman" w:eastAsia="Times New Roman" w:cs="Times New Roman"/>
          <w:szCs w:val="21"/>
          <w:lang w:val="en-US" w:eastAsia="zh-CN"/>
        </w:rPr>
      </w:pPr>
      <w:r>
        <w:rPr>
          <w:rFonts w:hint="eastAsia" w:ascii="Times New Roman" w:hAnsi="Times New Roman" w:eastAsia="Times New Roman" w:cs="Times New Roman"/>
          <w:szCs w:val="21"/>
          <w:lang w:val="en-US" w:eastAsia="zh-CN"/>
        </w:rPr>
        <w:t>HG/T 4756内墙耐污渍乳胶涂料</w:t>
      </w:r>
    </w:p>
    <w:p w14:paraId="61A52CD4">
      <w:pPr>
        <w:numPr>
          <w:ilvl w:val="0"/>
          <w:numId w:val="25"/>
        </w:numPr>
        <w:adjustRightInd w:val="0"/>
        <w:snapToGrid w:val="0"/>
        <w:spacing w:line="360" w:lineRule="exact"/>
        <w:rPr>
          <w:rFonts w:hint="default" w:ascii="Times New Roman" w:hAnsi="Times New Roman" w:eastAsia="Times New Roman" w:cs="Times New Roman"/>
          <w:szCs w:val="21"/>
          <w:lang w:val="en-US" w:eastAsia="zh-CN"/>
        </w:rPr>
      </w:pPr>
      <w:r>
        <w:rPr>
          <w:rFonts w:hint="eastAsia" w:ascii="Times New Roman" w:hAnsi="Times New Roman" w:eastAsia="Times New Roman" w:cs="Times New Roman"/>
          <w:szCs w:val="21"/>
          <w:lang w:val="en-US" w:eastAsia="zh-CN"/>
        </w:rPr>
        <w:t>HG/T 5065</w:t>
      </w:r>
      <w:r>
        <w:rPr>
          <w:rFonts w:hint="default" w:ascii="Times New Roman" w:hAnsi="Times New Roman" w:eastAsia="Times New Roman" w:cs="Times New Roman"/>
          <w:szCs w:val="21"/>
          <w:lang w:val="en-US" w:eastAsia="zh-CN"/>
        </w:rPr>
        <w:t>建筑涂料用罩光清漆</w:t>
      </w:r>
    </w:p>
    <w:p w14:paraId="02798309">
      <w:pPr>
        <w:numPr>
          <w:ilvl w:val="0"/>
          <w:numId w:val="25"/>
        </w:numPr>
        <w:adjustRightInd w:val="0"/>
        <w:snapToGrid w:val="0"/>
        <w:spacing w:line="360" w:lineRule="exact"/>
        <w:rPr>
          <w:rFonts w:hint="default" w:ascii="Times New Roman" w:hAnsi="Times New Roman" w:eastAsia="Times New Roman" w:cs="Times New Roman"/>
          <w:szCs w:val="21"/>
          <w:lang w:val="en-US" w:eastAsia="zh-CN"/>
        </w:rPr>
      </w:pPr>
      <w:r>
        <w:rPr>
          <w:rFonts w:hint="eastAsia" w:ascii="Times New Roman" w:hAnsi="Times New Roman" w:eastAsia="Times New Roman" w:cs="Times New Roman"/>
          <w:szCs w:val="21"/>
          <w:lang w:val="en-US" w:eastAsia="zh-CN"/>
        </w:rPr>
        <w:t>JC/T 423水溶性内墙涂料</w:t>
      </w:r>
    </w:p>
    <w:p w14:paraId="0D1FAD0E">
      <w:pPr>
        <w:numPr>
          <w:ilvl w:val="0"/>
          <w:numId w:val="25"/>
        </w:numPr>
        <w:adjustRightInd w:val="0"/>
        <w:snapToGrid w:val="0"/>
        <w:spacing w:line="360" w:lineRule="exact"/>
        <w:rPr>
          <w:rFonts w:hint="default" w:ascii="Times New Roman" w:hAnsi="Times New Roman" w:eastAsia="Times New Roman" w:cs="Times New Roman"/>
          <w:szCs w:val="21"/>
          <w:lang w:val="en-US" w:eastAsia="zh-CN"/>
        </w:rPr>
      </w:pPr>
      <w:r>
        <w:rPr>
          <w:rFonts w:hint="eastAsia" w:ascii="Times New Roman" w:hAnsi="Times New Roman" w:eastAsia="Times New Roman" w:cs="Times New Roman"/>
          <w:szCs w:val="21"/>
          <w:lang w:val="en-US" w:eastAsia="zh-CN"/>
        </w:rPr>
        <w:t>JC/T 1040</w:t>
      </w:r>
      <w:r>
        <w:rPr>
          <w:rFonts w:hint="default" w:ascii="Times New Roman" w:hAnsi="Times New Roman" w:eastAsia="Times New Roman" w:cs="Times New Roman"/>
          <w:szCs w:val="21"/>
          <w:lang w:val="en-US" w:eastAsia="zh-CN"/>
        </w:rPr>
        <w:t>建筑外表面用热反射隔热涂料</w:t>
      </w:r>
    </w:p>
    <w:p w14:paraId="22CB85B9">
      <w:pPr>
        <w:numPr>
          <w:ilvl w:val="0"/>
          <w:numId w:val="25"/>
        </w:numPr>
        <w:adjustRightInd w:val="0"/>
        <w:snapToGrid w:val="0"/>
        <w:spacing w:line="360" w:lineRule="exact"/>
        <w:rPr>
          <w:rFonts w:hint="default" w:ascii="Times New Roman" w:hAnsi="Times New Roman" w:eastAsia="Times New Roman" w:cs="Times New Roman"/>
          <w:szCs w:val="21"/>
          <w:lang w:val="en-US" w:eastAsia="zh-CN"/>
        </w:rPr>
      </w:pPr>
      <w:r>
        <w:rPr>
          <w:rFonts w:hint="eastAsia" w:ascii="Times New Roman" w:hAnsi="Times New Roman" w:eastAsia="Times New Roman" w:cs="Times New Roman"/>
          <w:szCs w:val="21"/>
          <w:lang w:val="en-US" w:eastAsia="zh-CN"/>
        </w:rPr>
        <w:t>JC/T 2079建筑用弹性质感涂层材料</w:t>
      </w:r>
    </w:p>
    <w:p w14:paraId="4E4F3172">
      <w:pPr>
        <w:numPr>
          <w:ilvl w:val="0"/>
          <w:numId w:val="25"/>
        </w:numPr>
        <w:adjustRightInd w:val="0"/>
        <w:snapToGrid w:val="0"/>
        <w:spacing w:line="360" w:lineRule="exact"/>
        <w:rPr>
          <w:rFonts w:hint="default" w:ascii="Times New Roman" w:hAnsi="Times New Roman" w:eastAsia="Times New Roman" w:cs="Times New Roman"/>
          <w:szCs w:val="21"/>
          <w:lang w:val="en-US" w:eastAsia="zh-CN"/>
        </w:rPr>
      </w:pPr>
      <w:r>
        <w:rPr>
          <w:rFonts w:hint="eastAsia" w:ascii="Times New Roman" w:hAnsi="Times New Roman" w:eastAsia="Times New Roman" w:cs="Times New Roman"/>
          <w:szCs w:val="21"/>
          <w:lang w:val="en-US" w:eastAsia="zh-CN"/>
        </w:rPr>
        <w:t>JC/T 2083</w:t>
      </w:r>
      <w:r>
        <w:rPr>
          <w:rFonts w:hint="default" w:ascii="Times New Roman" w:hAnsi="Times New Roman" w:eastAsia="Times New Roman" w:cs="Times New Roman"/>
          <w:szCs w:val="21"/>
          <w:lang w:val="en-US" w:eastAsia="zh-CN"/>
        </w:rPr>
        <w:t>建筑用水基无机干粉室内装饰材料</w:t>
      </w:r>
    </w:p>
    <w:p w14:paraId="7F47CB59">
      <w:pPr>
        <w:numPr>
          <w:ilvl w:val="0"/>
          <w:numId w:val="25"/>
        </w:numPr>
        <w:adjustRightInd w:val="0"/>
        <w:snapToGrid w:val="0"/>
        <w:spacing w:line="360" w:lineRule="exact"/>
        <w:rPr>
          <w:rFonts w:hint="default" w:ascii="Times New Roman" w:hAnsi="Times New Roman" w:eastAsia="Times New Roman" w:cs="Times New Roman"/>
          <w:szCs w:val="21"/>
          <w:lang w:val="en-US" w:eastAsia="zh-CN"/>
        </w:rPr>
      </w:pPr>
      <w:r>
        <w:rPr>
          <w:rFonts w:hint="eastAsia" w:ascii="Times New Roman" w:hAnsi="Times New Roman" w:eastAsia="Times New Roman" w:cs="Times New Roman"/>
          <w:szCs w:val="21"/>
          <w:lang w:val="en-US" w:eastAsia="zh-CN"/>
        </w:rPr>
        <w:t>JG/T 24合成树脂乳液砂壁状建筑涂料</w:t>
      </w:r>
    </w:p>
    <w:p w14:paraId="4A8C5CC4">
      <w:pPr>
        <w:numPr>
          <w:ilvl w:val="0"/>
          <w:numId w:val="25"/>
        </w:numPr>
        <w:adjustRightInd w:val="0"/>
        <w:snapToGrid w:val="0"/>
        <w:spacing w:line="360" w:lineRule="exact"/>
        <w:rPr>
          <w:rFonts w:hint="default" w:ascii="Times New Roman" w:hAnsi="Times New Roman" w:eastAsia="Times New Roman" w:cs="Times New Roman"/>
          <w:szCs w:val="21"/>
          <w:lang w:val="en-US" w:eastAsia="zh-CN"/>
        </w:rPr>
      </w:pPr>
      <w:r>
        <w:rPr>
          <w:rFonts w:hint="eastAsia" w:ascii="Times New Roman" w:hAnsi="Times New Roman" w:eastAsia="Times New Roman" w:cs="Times New Roman"/>
          <w:szCs w:val="21"/>
          <w:lang w:val="en-US" w:eastAsia="zh-CN"/>
        </w:rPr>
        <w:t>JG/T 26</w:t>
      </w:r>
      <w:r>
        <w:rPr>
          <w:rFonts w:hint="default" w:ascii="Times New Roman" w:hAnsi="Times New Roman" w:eastAsia="Times New Roman" w:cs="Times New Roman"/>
          <w:szCs w:val="21"/>
          <w:lang w:val="en-US" w:eastAsia="zh-CN"/>
        </w:rPr>
        <w:t>外墙无机建筑涂料</w:t>
      </w:r>
    </w:p>
    <w:p w14:paraId="1DA51059">
      <w:pPr>
        <w:numPr>
          <w:ilvl w:val="0"/>
          <w:numId w:val="25"/>
        </w:numPr>
        <w:adjustRightInd w:val="0"/>
        <w:snapToGrid w:val="0"/>
        <w:spacing w:line="360" w:lineRule="exact"/>
        <w:rPr>
          <w:rFonts w:hint="eastAsia" w:ascii="Times New Roman" w:hAnsi="Times New Roman" w:eastAsia="Times New Roman" w:cs="Times New Roman"/>
          <w:szCs w:val="21"/>
          <w:lang w:val="en-US" w:eastAsia="zh-CN"/>
        </w:rPr>
      </w:pPr>
      <w:r>
        <w:rPr>
          <w:rFonts w:hint="eastAsia" w:ascii="Times New Roman" w:hAnsi="Times New Roman" w:eastAsia="Times New Roman" w:cs="Times New Roman"/>
          <w:szCs w:val="21"/>
          <w:lang w:val="en-US" w:eastAsia="zh-CN"/>
        </w:rPr>
        <w:t>JG/T 172弹性建筑涂料</w:t>
      </w:r>
    </w:p>
    <w:p w14:paraId="66CE4B0D">
      <w:pPr>
        <w:numPr>
          <w:ilvl w:val="0"/>
          <w:numId w:val="25"/>
        </w:numPr>
        <w:adjustRightInd w:val="0"/>
        <w:snapToGrid w:val="0"/>
        <w:spacing w:line="360" w:lineRule="exact"/>
        <w:rPr>
          <w:rFonts w:hint="eastAsia" w:ascii="Times New Roman" w:hAnsi="Times New Roman" w:eastAsia="Times New Roman" w:cs="Times New Roman"/>
          <w:szCs w:val="21"/>
          <w:lang w:val="en-US" w:eastAsia="zh-CN"/>
        </w:rPr>
      </w:pPr>
      <w:r>
        <w:rPr>
          <w:rFonts w:hint="eastAsia" w:ascii="Times New Roman" w:hAnsi="Times New Roman" w:eastAsia="Times New Roman" w:cs="Times New Roman"/>
          <w:szCs w:val="21"/>
          <w:lang w:val="en-US" w:eastAsia="zh-CN"/>
        </w:rPr>
        <w:t>JG/T 206</w:t>
      </w:r>
      <w:r>
        <w:rPr>
          <w:rFonts w:hint="default" w:ascii="Times New Roman" w:hAnsi="Times New Roman" w:eastAsia="Times New Roman" w:cs="Times New Roman"/>
          <w:szCs w:val="21"/>
          <w:lang w:val="en-US" w:eastAsia="zh-CN"/>
        </w:rPr>
        <w:t>外墙外保温用丙烯酸涂料</w:t>
      </w:r>
    </w:p>
    <w:p w14:paraId="06B34979">
      <w:pPr>
        <w:numPr>
          <w:ilvl w:val="0"/>
          <w:numId w:val="25"/>
        </w:numPr>
        <w:adjustRightInd w:val="0"/>
        <w:snapToGrid w:val="0"/>
        <w:spacing w:line="360" w:lineRule="exact"/>
        <w:rPr>
          <w:rFonts w:hint="default" w:ascii="Times New Roman" w:hAnsi="Times New Roman" w:eastAsia="Times New Roman" w:cs="Times New Roman"/>
          <w:szCs w:val="21"/>
          <w:lang w:val="en-US" w:eastAsia="zh-CN"/>
        </w:rPr>
      </w:pPr>
      <w:r>
        <w:rPr>
          <w:rFonts w:hint="eastAsia" w:ascii="Times New Roman" w:hAnsi="Times New Roman" w:eastAsia="Times New Roman" w:cs="Times New Roman"/>
          <w:szCs w:val="21"/>
          <w:lang w:val="en-US" w:eastAsia="zh-CN"/>
        </w:rPr>
        <w:t>JG/T 210</w:t>
      </w:r>
      <w:r>
        <w:rPr>
          <w:rFonts w:hint="default" w:ascii="Times New Roman" w:hAnsi="Times New Roman" w:eastAsia="Times New Roman" w:cs="Times New Roman"/>
          <w:szCs w:val="21"/>
          <w:lang w:val="en-US" w:eastAsia="zh-CN"/>
        </w:rPr>
        <w:t>建筑内外墙用底漆</w:t>
      </w:r>
    </w:p>
    <w:p w14:paraId="053EC3CA">
      <w:pPr>
        <w:numPr>
          <w:ilvl w:val="0"/>
          <w:numId w:val="25"/>
        </w:numPr>
        <w:adjustRightInd w:val="0"/>
        <w:snapToGrid w:val="0"/>
        <w:spacing w:line="360" w:lineRule="exact"/>
        <w:rPr>
          <w:rFonts w:hint="default" w:ascii="Times New Roman" w:hAnsi="Times New Roman" w:eastAsia="Times New Roman" w:cs="Times New Roman"/>
          <w:szCs w:val="21"/>
          <w:lang w:val="en-US" w:eastAsia="zh-CN"/>
        </w:rPr>
      </w:pPr>
      <w:r>
        <w:rPr>
          <w:rFonts w:hint="eastAsia" w:ascii="Times New Roman" w:hAnsi="Times New Roman" w:eastAsia="Times New Roman" w:cs="Times New Roman"/>
          <w:szCs w:val="21"/>
          <w:lang w:val="en-US" w:eastAsia="zh-CN"/>
        </w:rPr>
        <w:t>JG/T 235建筑反射隔热涂料</w:t>
      </w:r>
    </w:p>
    <w:p w14:paraId="060CC478">
      <w:pPr>
        <w:numPr>
          <w:ilvl w:val="0"/>
          <w:numId w:val="25"/>
        </w:numPr>
        <w:adjustRightInd w:val="0"/>
        <w:snapToGrid w:val="0"/>
        <w:spacing w:line="360" w:lineRule="exact"/>
        <w:rPr>
          <w:rFonts w:hint="default" w:ascii="Times New Roman" w:hAnsi="Times New Roman" w:eastAsia="Times New Roman" w:cs="Times New Roman"/>
          <w:szCs w:val="21"/>
          <w:lang w:val="en-US" w:eastAsia="zh-CN"/>
        </w:rPr>
      </w:pPr>
      <w:r>
        <w:rPr>
          <w:rFonts w:hint="eastAsia" w:ascii="Times New Roman" w:hAnsi="Times New Roman" w:eastAsia="Times New Roman" w:cs="Times New Roman"/>
          <w:szCs w:val="21"/>
          <w:lang w:val="en-US" w:eastAsia="zh-CN"/>
        </w:rPr>
        <w:t>JG/T 304</w:t>
      </w:r>
      <w:r>
        <w:rPr>
          <w:rFonts w:hint="default" w:ascii="Times New Roman" w:hAnsi="Times New Roman" w:eastAsia="Times New Roman" w:cs="Times New Roman"/>
          <w:szCs w:val="21"/>
          <w:lang w:val="en-US" w:eastAsia="zh-CN"/>
        </w:rPr>
        <w:t>建筑用防涂鸦抗粘贴涂料</w:t>
      </w:r>
    </w:p>
    <w:p w14:paraId="1A035C51">
      <w:pPr>
        <w:numPr>
          <w:ilvl w:val="0"/>
          <w:numId w:val="25"/>
        </w:numPr>
        <w:adjustRightInd w:val="0"/>
        <w:snapToGrid w:val="0"/>
        <w:spacing w:line="360" w:lineRule="exact"/>
        <w:rPr>
          <w:rFonts w:hint="default" w:ascii="Times New Roman" w:hAnsi="Times New Roman" w:eastAsia="Times New Roman" w:cs="Times New Roman"/>
          <w:szCs w:val="21"/>
          <w:lang w:val="en-US" w:eastAsia="zh-CN"/>
        </w:rPr>
      </w:pPr>
      <w:r>
        <w:rPr>
          <w:rFonts w:hint="eastAsia" w:ascii="Times New Roman" w:hAnsi="Times New Roman" w:eastAsia="Times New Roman" w:cs="Times New Roman"/>
          <w:szCs w:val="21"/>
          <w:lang w:val="en-US" w:eastAsia="zh-CN"/>
        </w:rPr>
        <w:t>JG/T 444</w:t>
      </w:r>
      <w:r>
        <w:rPr>
          <w:rFonts w:hint="default" w:ascii="Times New Roman" w:hAnsi="Times New Roman" w:eastAsia="Times New Roman" w:cs="Times New Roman"/>
          <w:szCs w:val="21"/>
          <w:lang w:val="en-US" w:eastAsia="zh-CN"/>
        </w:rPr>
        <w:t>建筑无机仿砖涂料</w:t>
      </w:r>
    </w:p>
    <w:p w14:paraId="7FDC28CF">
      <w:pPr>
        <w:numPr>
          <w:ilvl w:val="0"/>
          <w:numId w:val="25"/>
        </w:numPr>
        <w:adjustRightInd w:val="0"/>
        <w:snapToGrid w:val="0"/>
        <w:spacing w:line="360" w:lineRule="exact"/>
        <w:rPr>
          <w:rFonts w:hint="default" w:ascii="Times New Roman" w:hAnsi="Times New Roman" w:eastAsia="Times New Roman" w:cs="Times New Roman"/>
          <w:szCs w:val="21"/>
          <w:lang w:val="en-US" w:eastAsia="zh-CN"/>
        </w:rPr>
      </w:pPr>
      <w:r>
        <w:rPr>
          <w:rFonts w:hint="eastAsia" w:ascii="Times New Roman" w:hAnsi="Times New Roman" w:eastAsia="Times New Roman" w:cs="Times New Roman"/>
          <w:szCs w:val="21"/>
          <w:lang w:val="en-US" w:eastAsia="zh-CN"/>
        </w:rPr>
        <w:t>JG/T 445无机干粉建筑涂料</w:t>
      </w:r>
    </w:p>
    <w:p w14:paraId="620B7B1E">
      <w:pPr>
        <w:numPr>
          <w:ilvl w:val="0"/>
          <w:numId w:val="25"/>
        </w:numPr>
        <w:adjustRightInd w:val="0"/>
        <w:snapToGrid w:val="0"/>
        <w:spacing w:line="360" w:lineRule="exact"/>
        <w:rPr>
          <w:rFonts w:hint="default" w:ascii="Times New Roman" w:hAnsi="Times New Roman" w:eastAsia="Times New Roman" w:cs="Times New Roman"/>
          <w:szCs w:val="21"/>
          <w:lang w:val="en-US" w:eastAsia="zh-CN"/>
        </w:rPr>
      </w:pPr>
      <w:r>
        <w:rPr>
          <w:rFonts w:hint="eastAsia" w:ascii="Times New Roman" w:hAnsi="Times New Roman" w:eastAsia="Times New Roman" w:cs="Times New Roman"/>
          <w:szCs w:val="21"/>
          <w:lang w:val="en-US" w:eastAsia="zh-CN"/>
        </w:rPr>
        <w:t>JG/T 481</w:t>
      </w:r>
      <w:r>
        <w:rPr>
          <w:rFonts w:hint="default" w:ascii="Times New Roman" w:hAnsi="Times New Roman" w:eastAsia="Times New Roman" w:cs="Times New Roman"/>
          <w:szCs w:val="21"/>
          <w:lang w:val="en-US" w:eastAsia="zh-CN"/>
        </w:rPr>
        <w:t>低挥发性有机化合物（</w:t>
      </w:r>
      <w:r>
        <w:rPr>
          <w:rFonts w:hint="eastAsia" w:ascii="Times New Roman" w:hAnsi="Times New Roman" w:eastAsia="Times New Roman" w:cs="Times New Roman"/>
          <w:szCs w:val="21"/>
          <w:lang w:val="en-US" w:eastAsia="zh-CN"/>
        </w:rPr>
        <w:t>VOC</w:t>
      </w:r>
      <w:r>
        <w:rPr>
          <w:rFonts w:hint="default" w:ascii="Times New Roman" w:hAnsi="Times New Roman" w:eastAsia="Times New Roman" w:cs="Times New Roman"/>
          <w:szCs w:val="21"/>
          <w:lang w:val="en-US" w:eastAsia="zh-CN"/>
        </w:rPr>
        <w:t>）水性内墙涂覆材料</w:t>
      </w:r>
    </w:p>
    <w:p w14:paraId="141F493D">
      <w:pPr>
        <w:numPr>
          <w:ilvl w:val="0"/>
          <w:numId w:val="25"/>
        </w:numPr>
        <w:adjustRightInd w:val="0"/>
        <w:snapToGrid w:val="0"/>
        <w:spacing w:line="360" w:lineRule="exact"/>
        <w:rPr>
          <w:rFonts w:eastAsia="Times New Roman"/>
          <w:szCs w:val="21"/>
        </w:rPr>
      </w:pPr>
      <w:r>
        <w:rPr>
          <w:rFonts w:hint="eastAsia" w:ascii="Times New Roman" w:hAnsi="Times New Roman" w:eastAsia="Times New Roman" w:cs="Times New Roman"/>
          <w:szCs w:val="21"/>
          <w:lang w:val="en-US" w:eastAsia="zh-CN"/>
        </w:rPr>
        <w:t>JG/T 508</w:t>
      </w:r>
      <w:r>
        <w:rPr>
          <w:rFonts w:hint="default" w:ascii="Times New Roman" w:hAnsi="Times New Roman" w:eastAsia="Times New Roman" w:cs="Times New Roman"/>
          <w:szCs w:val="21"/>
          <w:lang w:val="en-US" w:eastAsia="zh-CN"/>
        </w:rPr>
        <w:t>外墙水性氟涂料</w:t>
      </w:r>
    </w:p>
    <w:p w14:paraId="267241E9">
      <w:pPr>
        <w:numPr>
          <w:ilvl w:val="0"/>
          <w:numId w:val="25"/>
        </w:numPr>
        <w:adjustRightInd w:val="0"/>
        <w:snapToGrid w:val="0"/>
        <w:spacing w:line="360" w:lineRule="exact"/>
        <w:rPr>
          <w:rFonts w:eastAsia="Times New Roman"/>
          <w:szCs w:val="21"/>
        </w:rPr>
      </w:pPr>
      <w:r>
        <w:rPr>
          <w:rFonts w:hint="eastAsia" w:eastAsia="Times New Roman"/>
          <w:szCs w:val="21"/>
        </w:rPr>
        <w:t>IPCC. Climate Change 2021: The Physical Science Basis. Working Group I contribution to the Sixth Assessment Report of the Intergovernmental Panel on Climate Change. Richard P. Allan., Paola A. Arias., Sophie Berger., Josep G. Canadell., Christophe Cassou., Deliang Chen., Annalisa Cherchi., Sarah L. Connors., Erika Coppola., Faye Abigail Cruz., et al, Cambridge University Press 2021, pp 7SM24-35</w:t>
      </w:r>
    </w:p>
    <w:p w14:paraId="0C39A59B">
      <w:pPr>
        <w:spacing w:after="156" w:afterLines="50" w:line="276" w:lineRule="auto"/>
        <w:jc w:val="center"/>
      </w:pPr>
    </w:p>
    <w:p w14:paraId="47B203E2">
      <w:pPr>
        <w:spacing w:after="156" w:afterLines="50" w:line="276" w:lineRule="auto"/>
        <w:jc w:val="center"/>
        <w:rPr>
          <w:szCs w:val="21"/>
          <w:highlight w:val="none"/>
        </w:rPr>
      </w:pPr>
      <w:r>
        <w:t>_________________________________</w:t>
      </w:r>
    </w:p>
    <w:sectPr>
      <w:footerReference r:id="rId17" w:type="default"/>
      <w:pgSz w:w="11906" w:h="16838"/>
      <w:pgMar w:top="1021" w:right="1134" w:bottom="1021" w:left="1021" w:header="1134" w:footer="1134" w:gutter="0"/>
      <w:cols w:space="425" w:num="1"/>
      <w:formProt w:val="0"/>
      <w:titlePg/>
      <w:docGrid w:type="linesAndChar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D6FE70">
    <w:pPr>
      <w:pStyle w:val="21"/>
      <w:tabs>
        <w:tab w:val="center" w:pos="4153"/>
        <w:tab w:val="right" w:pos="8306"/>
      </w:tabs>
      <w:jc w:val="right"/>
    </w:pPr>
  </w:p>
  <w:p w14:paraId="1EFC6EBA">
    <w:pPr>
      <w:pStyle w:val="21"/>
      <w:tabs>
        <w:tab w:val="center" w:pos="4153"/>
        <w:tab w:val="right"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AF2F1D">
    <w:pPr>
      <w:pStyle w:val="21"/>
      <w:jc w:val="center"/>
      <w:rPr>
        <w:color w:val="FFFFFF"/>
      </w:rPr>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30" name="文本框 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1960F3">
                          <w:pPr>
                            <w:pStyle w:val="2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UqPGcs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MrSKKZQsXPP76f&#10;f/4+//pGcAaBGuvniHuwiAztO9OibYZzj8PIuy2dil8wIvAD63SRV7SB8HhpNp3NxnBx+IYN8LOn&#10;69b58F4YRaKRU4f6JVnZcetDFzqExGzabGopUw2lJk1Or6/ejtOFiwfgUiNHJNE9Nlqh3bU9s50p&#10;TiDmTNcb3vJNjeRb5sM9c2gGPBjjEu6wlNIgiektSirjvv7rPMajRvBS0qC5cqoxS5TIDxq1A2AY&#10;DDcYu8HQB3Vr0K0TjKHlycQFF+Rgls6oL5ihVcwBF9McmXIaBvM2dA2OGeRitUpB6DbLwlY/WB6h&#10;o3jerg4BAiZdoyidEr1W6LdUmX42YkP/uU9RT/+D5S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pSo8ZywCAABXBAAADgAAAAAAAAABACAAAAAfAQAAZHJzL2Uyb0RvYy54bWxQSwUGAAAAAAYA&#10;BgBZAQAAvQUAAAAA&#10;">
              <v:fill on="f" focussize="0,0"/>
              <v:stroke on="f" weight="0.5pt"/>
              <v:imagedata o:title=""/>
              <o:lock v:ext="edit" aspectratio="f"/>
              <v:textbox inset="0mm,0mm,0mm,0mm" style="mso-fit-shape-to-text:t;">
                <w:txbxContent>
                  <w:p w14:paraId="431960F3">
                    <w:pPr>
                      <w:pStyle w:val="21"/>
                    </w:pPr>
                    <w:r>
                      <w:fldChar w:fldCharType="begin"/>
                    </w:r>
                    <w:r>
                      <w:instrText xml:space="preserve"> PAGE  \* MERGEFORMAT </w:instrText>
                    </w:r>
                    <w:r>
                      <w:fldChar w:fldCharType="separate"/>
                    </w:r>
                    <w:r>
                      <w:t>1</w:t>
                    </w:r>
                    <w:r>
                      <w:fldChar w:fldCharType="end"/>
                    </w:r>
                  </w:p>
                </w:txbxContent>
              </v:textbox>
            </v:shape>
          </w:pict>
        </mc:Fallback>
      </mc:AlternateContent>
    </w:r>
  </w:p>
  <w:p w14:paraId="65646D3B">
    <w:pPr>
      <w:pStyle w:val="21"/>
      <w:rPr>
        <w:color w:val="FFFFFF"/>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EF246C">
    <w:pPr>
      <w:pStyle w:val="21"/>
      <w:jc w:val="center"/>
      <w:rPr>
        <w:color w:val="FFFFFF"/>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DDECAD">
                          <w:pPr>
                            <w:pStyle w:val="2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ofIv8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I6XRCiWYKHb98/3b5&#10;8evy8yvBGQRqrJ8jbmcRGdq3psXYDOceh5F3WzoVv2BE4Ie856u8og2Ex0uz6Ww2hovDN2yAnz1e&#10;t86Hd8IoEo2cOvQvycpOWx+60CEkZtNmU0uZeig1aXJ68/rNOF24egAuNXJEEl2x0Qrtvu2Z7U1x&#10;BjFnutnwlm9qJN8yHx6YwzCgYDyXcI+llAZJTG9RUhn35V/nMR49gpeSBsOVU423RIl8r9E7AIbB&#10;cIOxHwx9VHcG04p2oJZk4oILcjBLZ9RnvKFVzAEX0xyZchoG8y50A443yMVqlYIwbZaFrd5ZHqGj&#10;eN6ujgECJl2jKJ0SvVaYt9SZ/m3Egf5zn6Ie/wfL3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CaHyL/KwIAAFcEAAAOAAAAAAAAAAEAIAAAAB8BAABkcnMvZTJvRG9jLnhtbFBLBQYAAAAABgAG&#10;AFkBAAC8BQAAAAA=&#10;">
              <v:fill on="f" focussize="0,0"/>
              <v:stroke on="f" weight="0.5pt"/>
              <v:imagedata o:title=""/>
              <o:lock v:ext="edit" aspectratio="f"/>
              <v:textbox inset="0mm,0mm,0mm,0mm" style="mso-fit-shape-to-text:t;">
                <w:txbxContent>
                  <w:p w14:paraId="5EDDECAD">
                    <w:pPr>
                      <w:pStyle w:val="21"/>
                    </w:pPr>
                    <w:r>
                      <w:fldChar w:fldCharType="begin"/>
                    </w:r>
                    <w:r>
                      <w:instrText xml:space="preserve"> PAGE  \* MERGEFORMAT </w:instrText>
                    </w:r>
                    <w:r>
                      <w:fldChar w:fldCharType="separate"/>
                    </w:r>
                    <w:r>
                      <w:t>1</w:t>
                    </w:r>
                    <w:r>
                      <w:fldChar w:fldCharType="end"/>
                    </w:r>
                  </w:p>
                </w:txbxContent>
              </v:textbox>
            </v:shape>
          </w:pict>
        </mc:Fallback>
      </mc:AlternateContent>
    </w:r>
  </w:p>
  <w:p w14:paraId="333F36D6">
    <w:pPr>
      <w:pStyle w:val="21"/>
      <w:rPr>
        <w:color w:val="FFFFFF"/>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69CDA0">
    <w:pPr>
      <w:pStyle w:val="21"/>
      <w:jc w:val="center"/>
      <w:rPr>
        <w:color w:val="FFFFFF"/>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026E72">
                          <w:pPr>
                            <w:pStyle w:val="21"/>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LJ1z8s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dTSjRTqPjl+7fL&#10;j1+Xn18JziBQY/0ccTuLyNC+NS3aZjj3OIy829Kp+AUjAj/kPV/lFW0gPF6aTWezMVwcvmED/Ozx&#10;unU+vBNGkWjk1KF+SVZ22vrQhQ4hMZs2m1rKVEOpSZPTm9dvxunC1QNwqZEjkugeG63Q7tue2d4U&#10;ZxBzpusNb/mmRvIt8+GBOTQDHoxxCfdYSmmQxPQWJZVxX/51HuNRI3gpadBcOdWYJUrke43aATAM&#10;hhuM/WDoo7oz6NYJxtDyZOKCC3IwS2fUZ8zQKuaAi2mOTDkNg3kXugbHDHKxWqUgdJtlYat3lkfo&#10;KJ63q2OAgEnXKEqnRK8V+i1Vpp+N2NB/7lPU4/9g+R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snXPywCAABXBAAADgAAAAAAAAABACAAAAAfAQAAZHJzL2Uyb0RvYy54bWxQSwUGAAAAAAYA&#10;BgBZAQAAvQUAAAAA&#10;">
              <v:fill on="f" focussize="0,0"/>
              <v:stroke on="f" weight="0.5pt"/>
              <v:imagedata o:title=""/>
              <o:lock v:ext="edit" aspectratio="f"/>
              <v:textbox inset="0mm,0mm,0mm,0mm" style="mso-fit-shape-to-text:t;">
                <w:txbxContent>
                  <w:p w14:paraId="25026E72">
                    <w:pPr>
                      <w:pStyle w:val="21"/>
                    </w:pPr>
                    <w:r>
                      <w:fldChar w:fldCharType="begin"/>
                    </w:r>
                    <w:r>
                      <w:instrText xml:space="preserve"> PAGE  \* MERGEFORMAT </w:instrText>
                    </w:r>
                    <w:r>
                      <w:fldChar w:fldCharType="separate"/>
                    </w:r>
                    <w:r>
                      <w:t>3</w:t>
                    </w:r>
                    <w:r>
                      <w:fldChar w:fldCharType="end"/>
                    </w:r>
                  </w:p>
                </w:txbxContent>
              </v:textbox>
            </v:shape>
          </w:pict>
        </mc:Fallback>
      </mc:AlternateContent>
    </w:r>
  </w:p>
  <w:p w14:paraId="7DD76A81">
    <w:pPr>
      <w:pStyle w:val="21"/>
      <w:rPr>
        <w:color w:val="FFFFFF"/>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DC74D7">
    <w:pPr>
      <w:pStyle w:val="21"/>
      <w:jc w:val="center"/>
      <w:rPr>
        <w:color w:val="FFFFFF"/>
      </w:rP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BF36C6">
                          <w:pPr>
                            <w:pStyle w:val="21"/>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EhH8t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FSWaKVT8/OP7&#10;+efv869vBGcQqLF+jrgHi8jQvjMt2mY49ziMvNvSqfgFIwI/5D1d5BVtIDxemk1nszFcHL5hA/zs&#10;6bp1PrwXRpFo5NShfklWdtz60IUOITGbNptaylRDqUmT0+urt+N04eIBuNTIEUl0j41WaHdtz2xn&#10;ihOIOdP1hrd8UyP5lvlwzxyaAQ/GuIQ7LKU0SGJ6i5LKuK//Oo/xqBG8lDRorpxqzBIl8oNG7QAY&#10;BsMNxm4w9EHdGnTrBGNoeTJxwQU5mKUz6gtmaBVzwMU0R6achsG8DV2DYwa5WK1SELrNsrDVD5ZH&#10;6Ciet6tDgIBJ1yhKp0SvFfotVaafjdjQf+5T1NP/YPkI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MqEhH8tAgAAVwQAAA4AAAAAAAAAAQAgAAAAHwEAAGRycy9lMm9Eb2MueG1sUEsFBgAAAAAG&#10;AAYAWQEAAL4FAAAAAA==&#10;">
              <v:fill on="f" focussize="0,0"/>
              <v:stroke on="f" weight="0.5pt"/>
              <v:imagedata o:title=""/>
              <o:lock v:ext="edit" aspectratio="f"/>
              <v:textbox inset="0mm,0mm,0mm,0mm" style="mso-fit-shape-to-text:t;">
                <w:txbxContent>
                  <w:p w14:paraId="1EBF36C6">
                    <w:pPr>
                      <w:pStyle w:val="21"/>
                    </w:pPr>
                    <w:r>
                      <w:fldChar w:fldCharType="begin"/>
                    </w:r>
                    <w:r>
                      <w:instrText xml:space="preserve"> PAGE  \* MERGEFORMAT </w:instrText>
                    </w:r>
                    <w:r>
                      <w:fldChar w:fldCharType="separate"/>
                    </w:r>
                    <w:r>
                      <w:t>2</w:t>
                    </w:r>
                    <w:r>
                      <w:fldChar w:fldCharType="end"/>
                    </w:r>
                  </w:p>
                </w:txbxContent>
              </v:textbox>
            </v:shape>
          </w:pict>
        </mc:Fallback>
      </mc:AlternateContent>
    </w:r>
  </w:p>
  <w:p w14:paraId="71A880B3">
    <w:pPr>
      <w:pStyle w:val="21"/>
      <w:rPr>
        <w:color w:val="FFFFFF"/>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033E19">
    <w:pPr>
      <w:pStyle w:val="21"/>
      <w:jc w:val="center"/>
      <w:rPr>
        <w:color w:val="000000" w:themeColor="text1"/>
        <w14:textFill>
          <w14:solidFill>
            <w14:schemeClr w14:val="tx1"/>
          </w14:solidFill>
        </w14:textFill>
      </w:rP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2F3B4B">
                          <w:pPr>
                            <w:pStyle w:val="2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NiTWUt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nKgk7eUKKZQsVPP76f&#10;fj6cfn0jOINArfUzxN1bRIbunenQNsO5x2Hk3VVOxS8YEfgh7/Eir+gC4fHSdDKd5nBx+IYN8LPH&#10;69b58F4YRaJRUIf6JVnZYeNDHzqExGzarBspUw2lJm1Br16/zdOFiwfgUiNHJNE/Nlqh23ZnZltT&#10;HkHMmb43vOXrBsk3zIc75tAMeDDGJdxiqaRBEnO2KKmN+/qv8xiPGsFLSYvmKqjGLFEiP2jUDoBh&#10;MNxgbAdD79WNQbeOMYaWJxMXXJCDWTmjvmCGljEHXExzZCpoGMyb0Dc4ZpCL5TIFodssCxt9b3mE&#10;juJ5u9wHCJh0jaL0Spy1Qr+lypxnIzb0n/sU9fg/WPwG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NNiTWUtAgAAVwQAAA4AAAAAAAAAAQAgAAAAHwEAAGRycy9lMm9Eb2MueG1sUEsFBgAAAAAG&#10;AAYAWQEAAL4FAAAAAA==&#10;">
              <v:fill on="f" focussize="0,0"/>
              <v:stroke on="f" weight="0.5pt"/>
              <v:imagedata o:title=""/>
              <o:lock v:ext="edit" aspectratio="f"/>
              <v:textbox inset="0mm,0mm,0mm,0mm" style="mso-fit-shape-to-text:t;">
                <w:txbxContent>
                  <w:p w14:paraId="632F3B4B">
                    <w:pPr>
                      <w:pStyle w:val="21"/>
                    </w:pPr>
                    <w:r>
                      <w:fldChar w:fldCharType="begin"/>
                    </w:r>
                    <w:r>
                      <w:instrText xml:space="preserve"> PAGE  \* MERGEFORMAT </w:instrText>
                    </w:r>
                    <w:r>
                      <w:fldChar w:fldCharType="separate"/>
                    </w:r>
                    <w:r>
                      <w:t>1</w:t>
                    </w:r>
                    <w:r>
                      <w:fldChar w:fldCharType="end"/>
                    </w:r>
                  </w:p>
                </w:txbxContent>
              </v:textbox>
            </v:shape>
          </w:pict>
        </mc:Fallback>
      </mc:AlternateContent>
    </w:r>
  </w:p>
  <w:p w14:paraId="454C1229">
    <w:pPr>
      <w:pStyle w:val="21"/>
      <w:rPr>
        <w:color w:val="000000" w:themeColor="text1"/>
        <w14:textFill>
          <w14:solidFill>
            <w14:schemeClr w14:val="tx1"/>
          </w14:solidFill>
        </w14:textFill>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181652">
    <w:pPr>
      <w:pStyle w:val="21"/>
      <w:adjustRightInd w:val="0"/>
      <w:ind w:right="0" w:rightChars="0"/>
      <w:jc w:val="center"/>
      <w:rPr>
        <w:rFonts w:hint="eastAsia" w:eastAsia="宋体"/>
        <w:lang w:val="en-US" w:eastAsia="zh-CN"/>
      </w:rPr>
    </w:pPr>
    <w:r>
      <w:fldChar w:fldCharType="begin"/>
    </w:r>
    <w:r>
      <w:instrText xml:space="preserve">PAGE   \* MERGEFORMAT</w:instrText>
    </w:r>
    <w:r>
      <w:fldChar w:fldCharType="separate"/>
    </w:r>
    <w:r>
      <w:rPr>
        <w:lang w:val="zh-CN"/>
      </w:rPr>
      <w:t>1</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D6FC9">
    <w:pPr>
      <w:pStyle w:val="12"/>
      <w:spacing w:line="14" w:lineRule="auto"/>
      <w:ind w:firstLine="100"/>
      <w:rPr>
        <w:sz w:val="2"/>
      </w:rPr>
    </w:pPr>
    <w:r>
      <w:rPr>
        <w:sz w:val="2"/>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7E0C595">
                          <w:pPr>
                            <w:pStyle w:val="21"/>
                          </w:pPr>
                          <w:r>
                            <w:fldChar w:fldCharType="begin"/>
                          </w:r>
                          <w:r>
                            <w:instrText xml:space="preserve"> PAGE  \* MERGEFORMAT </w:instrText>
                          </w:r>
                          <w:r>
                            <w:fldChar w:fldCharType="separate"/>
                          </w:r>
                          <w:r>
                            <w:t>23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liw6YyAgAAZQQAAA4AAABkcnMvZTJvRG9jLnhtbK1UzY7TMBC+I/EO&#10;lu80aRFL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lKTMJbSjRT6Pjpx/fT&#10;z4fTr28EdxCotX6GuHuLyNC9Mx2Ch3uPy8i7q5yKv2BE4Ie8x4u8oguEx0fTyXSaw8XhGw7Azx6f&#10;W+fDe2EUiUZBHfqXZGWHjQ996BASs2mzbqRMPZSatAW9ev0mTw8uHoBLHWNFmoYzTKTUlx6t0G27&#10;M8+tKY+g6Uw/Kd7ydYNSNsyHO+YwGigfyxNu8amkQUpztiipjfv6r/sYj47BS0mLUSuoxmZRIj9o&#10;dBKAYTDcYGwHQ+/VjcHsjrGUlicTD1yQg1k5o75go5YxB1xMc2QqaBjMm9CPOzaSi+UyBWH2LAsb&#10;fW95hI7yeLvcB8iZVI6i9EqgO/GA6Ut9Om9KHO8/zynq8d9h8R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yWLDpjICAABlBAAADgAAAAAAAAABACAAAAAfAQAAZHJzL2Uyb0RvYy54bWxQSwUG&#10;AAAAAAYABgBZAQAAwwUAAAAA&#10;">
              <v:fill on="f" focussize="0,0"/>
              <v:stroke on="f" weight="0.5pt"/>
              <v:imagedata o:title=""/>
              <o:lock v:ext="edit" aspectratio="f"/>
              <v:textbox inset="0mm,0mm,0mm,0mm" style="mso-fit-shape-to-text:t;">
                <w:txbxContent>
                  <w:p w14:paraId="37E0C595">
                    <w:pPr>
                      <w:pStyle w:val="21"/>
                    </w:pPr>
                    <w:r>
                      <w:fldChar w:fldCharType="begin"/>
                    </w:r>
                    <w:r>
                      <w:instrText xml:space="preserve"> PAGE  \* MERGEFORMAT </w:instrText>
                    </w:r>
                    <w:r>
                      <w:fldChar w:fldCharType="separate"/>
                    </w:r>
                    <w:r>
                      <w:t>23</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1A17A2">
    <w:pPr>
      <w:pStyle w:val="12"/>
      <w:spacing w:line="14" w:lineRule="auto"/>
      <w:rPr>
        <w:sz w:val="2"/>
      </w:rPr>
    </w:pPr>
    <w:r>
      <w:rPr>
        <w:sz w:val="2"/>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C675E5C">
                          <w:pPr>
                            <w:pStyle w:val="21"/>
                          </w:pPr>
                          <w:r>
                            <w:fldChar w:fldCharType="begin"/>
                          </w:r>
                          <w:r>
                            <w:instrText xml:space="preserve"> PAGE  \* MERGEFORMAT </w:instrText>
                          </w:r>
                          <w:r>
                            <w:fldChar w:fldCharType="separate"/>
                          </w:r>
                          <w:r>
                            <w:t>23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P56+UsAgAAVw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qczSjRTqPjl+7fL&#10;j1+Xn18JziBQY/0CcQ8WkaF9a1q0zXDucRh5t6VT8QtGBH7Ie77KK9pAeLw0n87nY7g4fMMG+Nnj&#10;det8eCeMItHIqUP9kqzstPOhCx1CYjZttrWUqYZSkyans9dvxunC1QNwqZEjkugeG63Q7tue2d4U&#10;ZxBzpusNb/m2RvId8+GeOTQDHoxxCXdYSmmQxPQWJZVxX/51HuNRI3gpadBcOdWYJUrke43aATAM&#10;hhuM/WDoo7o16NYJxtDyZOKCC3IwS2fUZ8zQOuaAi2mOTDkNg3kbugbHDHKxXqcgdJtlYacfLI/Q&#10;UTxv18cAAZOuUZROiV4r9FuqTD8bsaH/3Keox//B6j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nr5SwCAABXBAAADgAAAAAAAAABACAAAAAfAQAAZHJzL2Uyb0RvYy54bWxQSwUGAAAAAAYA&#10;BgBZAQAAvQUAAAAA&#10;">
              <v:fill on="f" focussize="0,0"/>
              <v:stroke on="f" weight="0.5pt"/>
              <v:imagedata o:title=""/>
              <o:lock v:ext="edit" aspectratio="f"/>
              <v:textbox inset="0mm,0mm,0mm,0mm" style="mso-fit-shape-to-text:t;">
                <w:txbxContent>
                  <w:p w14:paraId="6C675E5C">
                    <w:pPr>
                      <w:pStyle w:val="21"/>
                    </w:pPr>
                    <w:r>
                      <w:fldChar w:fldCharType="begin"/>
                    </w:r>
                    <w:r>
                      <w:instrText xml:space="preserve"> PAGE  \* MERGEFORMAT </w:instrText>
                    </w:r>
                    <w:r>
                      <w:fldChar w:fldCharType="separate"/>
                    </w:r>
                    <w:r>
                      <w:t>23</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90BB3">
    <w:pPr>
      <w:pStyle w:val="22"/>
      <w:jc w:val="right"/>
      <w:rPr>
        <w:sz w:val="28"/>
        <w:szCs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592DF5">
    <w:pPr>
      <w:pStyle w:val="22"/>
      <w:ind w:right="560"/>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CB002A">
    <w:pPr>
      <w:pStyle w:val="22"/>
      <w:rPr>
        <w:szCs w:val="2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96A7C5">
    <w:pPr>
      <w:pStyle w:val="22"/>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E8D7E4"/>
    <w:multiLevelType w:val="multilevel"/>
    <w:tmpl w:val="9EE8D7E4"/>
    <w:lvl w:ilvl="0" w:tentative="0">
      <w:start w:val="1"/>
      <w:numFmt w:val="low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2AB8452"/>
    <w:multiLevelType w:val="multilevel"/>
    <w:tmpl w:val="D2AB8452"/>
    <w:lvl w:ilvl="0" w:tentative="0">
      <w:start w:val="1"/>
      <w:numFmt w:val="lowerLetter"/>
      <w:lvlText w:val="%1)"/>
      <w:lvlJc w:val="left"/>
      <w:pPr>
        <w:ind w:left="425" w:hanging="425"/>
      </w:pPr>
      <w:rPr>
        <w:rFonts w:hint="default"/>
      </w:rPr>
    </w:lvl>
    <w:lvl w:ilvl="1" w:tentative="0">
      <w:start w:val="1"/>
      <w:numFmt w:val="lowerLetter"/>
      <w:lvlText w:val="%2."/>
      <w:lvlJc w:val="left"/>
      <w:pPr>
        <w:tabs>
          <w:tab w:val="left" w:pos="840"/>
        </w:tabs>
        <w:ind w:left="840" w:leftChars="0" w:hanging="420" w:firstLineChars="0"/>
      </w:pPr>
      <w:rPr>
        <w:rFonts w:hint="default"/>
      </w:rPr>
    </w:lvl>
    <w:lvl w:ilvl="2" w:tentative="0">
      <w:start w:val="1"/>
      <w:numFmt w:val="lowerLetter"/>
      <w:lvlText w:val="%3)"/>
      <w:lvlJc w:val="left"/>
      <w:pPr>
        <w:tabs>
          <w:tab w:val="left" w:pos="1260"/>
        </w:tabs>
        <w:ind w:left="1260" w:leftChars="0" w:hanging="420" w:firstLineChars="0"/>
      </w:pPr>
      <w:rPr>
        <w:rFonts w:hint="default"/>
      </w:rPr>
    </w:lvl>
    <w:lvl w:ilvl="3" w:tentative="0">
      <w:start w:val="1"/>
      <w:numFmt w:val="lowerRoman"/>
      <w:lvlText w:val="%4."/>
      <w:lvlJc w:val="left"/>
      <w:pPr>
        <w:tabs>
          <w:tab w:val="left" w:pos="1680"/>
        </w:tabs>
        <w:ind w:left="1680" w:leftChars="0" w:hanging="420" w:firstLineChars="0"/>
      </w:pPr>
      <w:rPr>
        <w:rFonts w:hint="default"/>
      </w:rPr>
    </w:lvl>
    <w:lvl w:ilvl="4" w:tentative="0">
      <w:start w:val="1"/>
      <w:numFmt w:val="lowerRoman"/>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Letter"/>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Roman"/>
      <w:lvlText w:val="%9)"/>
      <w:lvlJc w:val="left"/>
      <w:pPr>
        <w:tabs>
          <w:tab w:val="left" w:pos="3780"/>
        </w:tabs>
        <w:ind w:left="3780" w:leftChars="0" w:hanging="420" w:firstLineChars="0"/>
      </w:pPr>
      <w:rPr>
        <w:rFonts w:hint="default"/>
      </w:rPr>
    </w:lvl>
  </w:abstractNum>
  <w:abstractNum w:abstractNumId="2">
    <w:nsid w:val="D85D8362"/>
    <w:multiLevelType w:val="multilevel"/>
    <w:tmpl w:val="D85D8362"/>
    <w:lvl w:ilvl="0" w:tentative="0">
      <w:start w:val="1"/>
      <w:numFmt w:val="low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ED6E268A"/>
    <w:multiLevelType w:val="multilevel"/>
    <w:tmpl w:val="ED6E268A"/>
    <w:lvl w:ilvl="0" w:tentative="0">
      <w:start w:val="1"/>
      <w:numFmt w:val="low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F6C07D54"/>
    <w:multiLevelType w:val="multilevel"/>
    <w:tmpl w:val="F6C07D54"/>
    <w:lvl w:ilvl="0" w:tentative="0">
      <w:start w:val="1"/>
      <w:numFmt w:val="low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045C13FF"/>
    <w:multiLevelType w:val="multilevel"/>
    <w:tmpl w:val="045C13FF"/>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1D90B392"/>
    <w:multiLevelType w:val="multilevel"/>
    <w:tmpl w:val="1D90B392"/>
    <w:lvl w:ilvl="0" w:tentative="0">
      <w:start w:val="1"/>
      <w:numFmt w:val="decimal"/>
      <w:suff w:val="nothing"/>
      <w:lvlText w:val="%1）"/>
      <w:lvlJc w:val="left"/>
    </w:lvl>
    <w:lvl w:ilvl="1" w:tentative="0">
      <w:start w:val="1"/>
      <w:numFmt w:val="lowerLetter"/>
      <w:lvlText w:val="%2."/>
      <w:lvlJc w:val="left"/>
      <w:pPr>
        <w:tabs>
          <w:tab w:val="left" w:pos="840"/>
        </w:tabs>
        <w:ind w:left="840" w:hanging="420"/>
      </w:pPr>
      <w:rPr>
        <w:rFonts w:hint="default"/>
      </w:rPr>
    </w:lvl>
    <w:lvl w:ilvl="2" w:tentative="0">
      <w:start w:val="1"/>
      <w:numFmt w:val="lowerLetter"/>
      <w:lvlText w:val="%3)"/>
      <w:lvlJc w:val="left"/>
      <w:pPr>
        <w:tabs>
          <w:tab w:val="left" w:pos="1260"/>
        </w:tabs>
        <w:ind w:left="1260" w:hanging="420"/>
      </w:pPr>
      <w:rPr>
        <w:rFonts w:hint="default"/>
      </w:rPr>
    </w:lvl>
    <w:lvl w:ilvl="3" w:tentative="0">
      <w:start w:val="1"/>
      <w:numFmt w:val="lowerRoman"/>
      <w:lvlText w:val="%4."/>
      <w:lvlJc w:val="left"/>
      <w:pPr>
        <w:tabs>
          <w:tab w:val="left" w:pos="1680"/>
        </w:tabs>
        <w:ind w:left="1680" w:hanging="420"/>
      </w:pPr>
      <w:rPr>
        <w:rFonts w:hint="default"/>
      </w:rPr>
    </w:lvl>
    <w:lvl w:ilvl="4" w:tentative="0">
      <w:start w:val="1"/>
      <w:numFmt w:val="lowerRoman"/>
      <w:lvlText w:val="%5)"/>
      <w:lvlJc w:val="left"/>
      <w:pPr>
        <w:tabs>
          <w:tab w:val="left" w:pos="2100"/>
        </w:tabs>
        <w:ind w:left="2100" w:hanging="420"/>
      </w:pPr>
      <w:rPr>
        <w:rFonts w:hint="default"/>
      </w:rPr>
    </w:lvl>
    <w:lvl w:ilvl="5" w:tentative="0">
      <w:start w:val="1"/>
      <w:numFmt w:val="lowerLetter"/>
      <w:lvlText w:val="%6."/>
      <w:lvlJc w:val="left"/>
      <w:pPr>
        <w:tabs>
          <w:tab w:val="left" w:pos="2520"/>
        </w:tabs>
        <w:ind w:left="2520" w:hanging="420"/>
      </w:pPr>
      <w:rPr>
        <w:rFonts w:hint="default"/>
      </w:rPr>
    </w:lvl>
    <w:lvl w:ilvl="6" w:tentative="0">
      <w:start w:val="1"/>
      <w:numFmt w:val="lowerLetter"/>
      <w:lvlText w:val="%7)"/>
      <w:lvlJc w:val="left"/>
      <w:pPr>
        <w:tabs>
          <w:tab w:val="left" w:pos="2940"/>
        </w:tabs>
        <w:ind w:left="2940" w:hanging="420"/>
      </w:pPr>
      <w:rPr>
        <w:rFonts w:hint="default"/>
      </w:rPr>
    </w:lvl>
    <w:lvl w:ilvl="7" w:tentative="0">
      <w:start w:val="1"/>
      <w:numFmt w:val="lowerRoman"/>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7">
    <w:nsid w:val="1DBF583A"/>
    <w:multiLevelType w:val="multilevel"/>
    <w:tmpl w:val="1DBF583A"/>
    <w:lvl w:ilvl="0" w:tentative="0">
      <w:start w:val="1"/>
      <w:numFmt w:val="decimal"/>
      <w:pStyle w:val="72"/>
      <w:suff w:val="nothing"/>
      <w:lvlText w:val="注%1："/>
      <w:lvlJc w:val="left"/>
      <w:pPr>
        <w:ind w:left="811" w:hanging="448"/>
      </w:pPr>
      <w:rPr>
        <w:rFonts w:hint="eastAsia" w:ascii="黑体" w:eastAsia="黑体" w:cs="Times New Roman"/>
        <w:b w:val="0"/>
        <w:i w:val="0"/>
        <w:sz w:val="18"/>
        <w:szCs w:val="18"/>
        <w:vertAlign w:val="baseline"/>
      </w:rPr>
    </w:lvl>
    <w:lvl w:ilvl="1" w:tentative="0">
      <w:start w:val="1"/>
      <w:numFmt w:val="lowerLetter"/>
      <w:lvlText w:val="%2)"/>
      <w:lvlJc w:val="left"/>
      <w:pPr>
        <w:tabs>
          <w:tab w:val="left" w:pos="180"/>
        </w:tabs>
        <w:ind w:left="1172" w:hanging="629"/>
      </w:pPr>
      <w:rPr>
        <w:rFonts w:hint="eastAsia" w:cs="Times New Roman"/>
        <w:vertAlign w:val="baseline"/>
      </w:rPr>
    </w:lvl>
    <w:lvl w:ilvl="2" w:tentative="0">
      <w:start w:val="1"/>
      <w:numFmt w:val="lowerRoman"/>
      <w:lvlText w:val="%3."/>
      <w:lvlJc w:val="right"/>
      <w:pPr>
        <w:tabs>
          <w:tab w:val="left" w:pos="180"/>
        </w:tabs>
        <w:ind w:left="1172" w:hanging="629"/>
      </w:pPr>
      <w:rPr>
        <w:rFonts w:hint="eastAsia" w:cs="Times New Roman"/>
        <w:vertAlign w:val="baseline"/>
      </w:rPr>
    </w:lvl>
    <w:lvl w:ilvl="3" w:tentative="0">
      <w:start w:val="1"/>
      <w:numFmt w:val="decimal"/>
      <w:lvlText w:val="%4."/>
      <w:lvlJc w:val="left"/>
      <w:pPr>
        <w:tabs>
          <w:tab w:val="left" w:pos="180"/>
        </w:tabs>
        <w:ind w:left="1172" w:hanging="629"/>
      </w:pPr>
      <w:rPr>
        <w:rFonts w:hint="eastAsia" w:cs="Times New Roman"/>
        <w:vertAlign w:val="baseline"/>
      </w:rPr>
    </w:lvl>
    <w:lvl w:ilvl="4" w:tentative="0">
      <w:start w:val="1"/>
      <w:numFmt w:val="lowerLetter"/>
      <w:lvlText w:val="%5)"/>
      <w:lvlJc w:val="left"/>
      <w:pPr>
        <w:tabs>
          <w:tab w:val="left" w:pos="180"/>
        </w:tabs>
        <w:ind w:left="1172" w:hanging="629"/>
      </w:pPr>
      <w:rPr>
        <w:rFonts w:hint="eastAsia" w:cs="Times New Roman"/>
        <w:vertAlign w:val="baseline"/>
      </w:rPr>
    </w:lvl>
    <w:lvl w:ilvl="5" w:tentative="0">
      <w:start w:val="1"/>
      <w:numFmt w:val="lowerRoman"/>
      <w:lvlText w:val="%6."/>
      <w:lvlJc w:val="right"/>
      <w:pPr>
        <w:tabs>
          <w:tab w:val="left" w:pos="180"/>
        </w:tabs>
        <w:ind w:left="1172" w:hanging="629"/>
      </w:pPr>
      <w:rPr>
        <w:rFonts w:hint="eastAsia" w:cs="Times New Roman"/>
        <w:vertAlign w:val="baseline"/>
      </w:rPr>
    </w:lvl>
    <w:lvl w:ilvl="6" w:tentative="0">
      <w:start w:val="1"/>
      <w:numFmt w:val="decimal"/>
      <w:lvlText w:val="%7."/>
      <w:lvlJc w:val="left"/>
      <w:pPr>
        <w:tabs>
          <w:tab w:val="left" w:pos="180"/>
        </w:tabs>
        <w:ind w:left="1172" w:hanging="629"/>
      </w:pPr>
      <w:rPr>
        <w:rFonts w:hint="eastAsia" w:cs="Times New Roman"/>
        <w:vertAlign w:val="baseline"/>
      </w:rPr>
    </w:lvl>
    <w:lvl w:ilvl="7" w:tentative="0">
      <w:start w:val="1"/>
      <w:numFmt w:val="lowerLetter"/>
      <w:lvlText w:val="%8)"/>
      <w:lvlJc w:val="left"/>
      <w:pPr>
        <w:tabs>
          <w:tab w:val="left" w:pos="180"/>
        </w:tabs>
        <w:ind w:left="1172" w:hanging="629"/>
      </w:pPr>
      <w:rPr>
        <w:rFonts w:hint="eastAsia" w:cs="Times New Roman"/>
        <w:vertAlign w:val="baseline"/>
      </w:rPr>
    </w:lvl>
    <w:lvl w:ilvl="8" w:tentative="0">
      <w:start w:val="1"/>
      <w:numFmt w:val="lowerRoman"/>
      <w:lvlText w:val="%9."/>
      <w:lvlJc w:val="right"/>
      <w:pPr>
        <w:tabs>
          <w:tab w:val="left" w:pos="180"/>
        </w:tabs>
        <w:ind w:left="1172" w:hanging="629"/>
      </w:pPr>
      <w:rPr>
        <w:rFonts w:hint="eastAsia" w:cs="Times New Roman"/>
        <w:vertAlign w:val="baseline"/>
      </w:rPr>
    </w:lvl>
  </w:abstractNum>
  <w:abstractNum w:abstractNumId="8">
    <w:nsid w:val="1FC91163"/>
    <w:multiLevelType w:val="multilevel"/>
    <w:tmpl w:val="1FC91163"/>
    <w:lvl w:ilvl="0" w:tentative="0">
      <w:start w:val="1"/>
      <w:numFmt w:val="decimal"/>
      <w:pStyle w:val="50"/>
      <w:suff w:val="nothing"/>
      <w:lvlText w:val="%1　"/>
      <w:lvlJc w:val="left"/>
      <w:rPr>
        <w:rFonts w:hint="eastAsia" w:ascii="黑体" w:hAnsi="Times New Roman" w:eastAsia="黑体" w:cs="Times New Roman"/>
        <w:b w:val="0"/>
        <w:i w:val="0"/>
        <w:color w:val="000000"/>
        <w:sz w:val="21"/>
        <w:szCs w:val="21"/>
      </w:rPr>
    </w:lvl>
    <w:lvl w:ilvl="1" w:tentative="0">
      <w:start w:val="1"/>
      <w:numFmt w:val="decimal"/>
      <w:pStyle w:val="47"/>
      <w:suff w:val="nothing"/>
      <w:lvlText w:val="%1.%2　"/>
      <w:lvlJc w:val="left"/>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suff w:val="nothing"/>
      <w:lvlText w:val="%1.%2.%3　"/>
      <w:lvlJc w:val="left"/>
      <w:pPr>
        <w:ind w:left="0"/>
      </w:pPr>
      <w:rPr>
        <w:rFonts w:hint="eastAsia" w:ascii="黑体" w:hAnsi="Times New Roman" w:eastAsia="黑体" w:cs="Times New Roman"/>
        <w:b w:val="0"/>
        <w:i w:val="0"/>
        <w:sz w:val="21"/>
      </w:rPr>
    </w:lvl>
    <w:lvl w:ilvl="3" w:tentative="0">
      <w:start w:val="1"/>
      <w:numFmt w:val="decimal"/>
      <w:suff w:val="nothing"/>
      <w:lvlText w:val="%1.%2.%3.%4　"/>
      <w:lvlJc w:val="left"/>
      <w:rPr>
        <w:rFonts w:hint="eastAsia" w:ascii="黑体" w:hAnsi="Times New Roman" w:eastAsia="黑体" w:cs="Times New Roman"/>
        <w:b w:val="0"/>
        <w:i w:val="0"/>
        <w:sz w:val="21"/>
      </w:rPr>
    </w:lvl>
    <w:lvl w:ilvl="4" w:tentative="0">
      <w:start w:val="1"/>
      <w:numFmt w:val="decimal"/>
      <w:suff w:val="nothing"/>
      <w:lvlText w:val="%1.%2.%3.%4.%5　"/>
      <w:lvlJc w:val="left"/>
      <w:rPr>
        <w:rFonts w:hint="eastAsia" w:ascii="黑体" w:hAnsi="Times New Roman" w:eastAsia="黑体" w:cs="Times New Roman"/>
        <w:b w:val="0"/>
        <w:i w:val="0"/>
        <w:sz w:val="21"/>
      </w:rPr>
    </w:lvl>
    <w:lvl w:ilvl="5" w:tentative="0">
      <w:start w:val="1"/>
      <w:numFmt w:val="decimal"/>
      <w:suff w:val="nothing"/>
      <w:lvlText w:val="%1.%2.%3.%4.%5.%6　"/>
      <w:lvlJc w:val="left"/>
      <w:rPr>
        <w:rFonts w:hint="eastAsia" w:ascii="黑体" w:hAnsi="Times New Roman" w:eastAsia="黑体" w:cs="Times New Roman"/>
        <w:b w:val="0"/>
        <w:i w:val="0"/>
        <w:sz w:val="21"/>
      </w:rPr>
    </w:lvl>
    <w:lvl w:ilvl="6" w:tentative="0">
      <w:start w:val="1"/>
      <w:numFmt w:val="decimal"/>
      <w:suff w:val="nothing"/>
      <w:lvlText w:val="%1%2.%3.%4.%5.%6.%7　"/>
      <w:lvlJc w:val="left"/>
      <w:rPr>
        <w:rFonts w:hint="eastAsia" w:ascii="黑体" w:hAnsi="Times New Roman" w:eastAsia="黑体" w:cs="Times New Roman"/>
        <w:b w:val="0"/>
        <w:i w:val="0"/>
        <w:sz w:val="21"/>
      </w:rPr>
    </w:lvl>
    <w:lvl w:ilvl="7" w:tentative="0">
      <w:start w:val="1"/>
      <w:numFmt w:val="decimal"/>
      <w:lvlText w:val="%1.%2.%3.%4.%5.%6.%7.%8"/>
      <w:lvlJc w:val="left"/>
      <w:pPr>
        <w:tabs>
          <w:tab w:val="left" w:pos="4351"/>
        </w:tabs>
        <w:ind w:left="3969" w:hanging="1418"/>
      </w:pPr>
      <w:rPr>
        <w:rFonts w:hint="eastAsia" w:cs="Times New Roman"/>
      </w:rPr>
    </w:lvl>
    <w:lvl w:ilvl="8" w:tentative="0">
      <w:start w:val="1"/>
      <w:numFmt w:val="decimal"/>
      <w:lvlText w:val="%1.%2.%3.%4.%5.%6.%7.%8.%9"/>
      <w:lvlJc w:val="left"/>
      <w:pPr>
        <w:tabs>
          <w:tab w:val="left" w:pos="4777"/>
        </w:tabs>
        <w:ind w:left="4677" w:hanging="1700"/>
      </w:pPr>
      <w:rPr>
        <w:rFonts w:hint="eastAsia" w:cs="Times New Roman"/>
      </w:rPr>
    </w:lvl>
  </w:abstractNum>
  <w:abstractNum w:abstractNumId="9">
    <w:nsid w:val="266E125D"/>
    <w:multiLevelType w:val="multilevel"/>
    <w:tmpl w:val="266E125D"/>
    <w:lvl w:ilvl="0" w:tentative="0">
      <w:start w:val="1"/>
      <w:numFmt w:val="lowerLetter"/>
      <w:lvlText w:val="%1)"/>
      <w:lvlJc w:val="left"/>
      <w:pPr>
        <w:ind w:left="0" w:firstLine="0"/>
      </w:pPr>
      <w:rPr>
        <w:rFonts w:hint="eastAsia"/>
        <w:b w:val="0"/>
        <w:i w:val="0"/>
        <w:sz w:val="21"/>
        <w:szCs w:val="21"/>
      </w:rPr>
    </w:lvl>
    <w:lvl w:ilvl="1" w:tentative="0">
      <w:start w:val="1"/>
      <w:numFmt w:val="decimal"/>
      <w:suff w:val="nothing"/>
      <w:lvlText w:val="%1.%2　"/>
      <w:lvlJc w:val="left"/>
      <w:pPr>
        <w:ind w:left="5387"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suff w:val="nothing"/>
      <w:lvlText w:val="%1.%2.%3　"/>
      <w:lvlJc w:val="left"/>
      <w:pPr>
        <w:ind w:left="1277"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0">
    <w:nsid w:val="2A8F7113"/>
    <w:multiLevelType w:val="multilevel"/>
    <w:tmpl w:val="2A8F7113"/>
    <w:lvl w:ilvl="0" w:tentative="0">
      <w:start w:val="1"/>
      <w:numFmt w:val="upperLetter"/>
      <w:pStyle w:val="105"/>
      <w:suff w:val="space"/>
      <w:lvlText w:val="%1"/>
      <w:lvlJc w:val="left"/>
      <w:pPr>
        <w:ind w:left="623" w:hanging="425"/>
      </w:pPr>
      <w:rPr>
        <w:rFonts w:hint="eastAsia" w:cs="Times New Roman"/>
      </w:rPr>
    </w:lvl>
    <w:lvl w:ilvl="1" w:tentative="0">
      <w:start w:val="1"/>
      <w:numFmt w:val="decimal"/>
      <w:pStyle w:val="106"/>
      <w:suff w:val="nothing"/>
      <w:lvlText w:val="图%1.%2　"/>
      <w:lvlJc w:val="left"/>
      <w:pPr>
        <w:ind w:left="1190" w:hanging="567"/>
      </w:pPr>
      <w:rPr>
        <w:rFonts w:hint="eastAsia" w:cs="Times New Roman"/>
      </w:rPr>
    </w:lvl>
    <w:lvl w:ilvl="2" w:tentative="0">
      <w:start w:val="1"/>
      <w:numFmt w:val="decimal"/>
      <w:lvlText w:val="%1.%2.%3"/>
      <w:lvlJc w:val="left"/>
      <w:pPr>
        <w:tabs>
          <w:tab w:val="left" w:pos="1616"/>
        </w:tabs>
        <w:ind w:left="1616" w:hanging="567"/>
      </w:pPr>
      <w:rPr>
        <w:rFonts w:hint="eastAsia" w:cs="Times New Roman"/>
      </w:rPr>
    </w:lvl>
    <w:lvl w:ilvl="3" w:tentative="0">
      <w:start w:val="1"/>
      <w:numFmt w:val="decimal"/>
      <w:lvlText w:val="%1.%2.%3.%4"/>
      <w:lvlJc w:val="left"/>
      <w:pPr>
        <w:tabs>
          <w:tab w:val="left" w:pos="2914"/>
        </w:tabs>
        <w:ind w:left="2182" w:hanging="708"/>
      </w:pPr>
      <w:rPr>
        <w:rFonts w:hint="eastAsia" w:cs="Times New Roman"/>
      </w:rPr>
    </w:lvl>
    <w:lvl w:ilvl="4" w:tentative="0">
      <w:start w:val="1"/>
      <w:numFmt w:val="decimal"/>
      <w:lvlText w:val="%1.%2.%3.%4.%5"/>
      <w:lvlJc w:val="left"/>
      <w:pPr>
        <w:tabs>
          <w:tab w:val="left" w:pos="3699"/>
        </w:tabs>
        <w:ind w:left="2749" w:hanging="850"/>
      </w:pPr>
      <w:rPr>
        <w:rFonts w:hint="eastAsia" w:cs="Times New Roman"/>
      </w:rPr>
    </w:lvl>
    <w:lvl w:ilvl="5" w:tentative="0">
      <w:start w:val="1"/>
      <w:numFmt w:val="decimal"/>
      <w:lvlText w:val="%1.%2.%3.%4.%5.%6"/>
      <w:lvlJc w:val="left"/>
      <w:pPr>
        <w:tabs>
          <w:tab w:val="left" w:pos="4484"/>
        </w:tabs>
        <w:ind w:left="3458" w:hanging="1134"/>
      </w:pPr>
      <w:rPr>
        <w:rFonts w:hint="eastAsia" w:cs="Times New Roman"/>
      </w:rPr>
    </w:lvl>
    <w:lvl w:ilvl="6" w:tentative="0">
      <w:start w:val="1"/>
      <w:numFmt w:val="decimal"/>
      <w:lvlText w:val="%1.%2.%3.%4.%5.%6.%7"/>
      <w:lvlJc w:val="left"/>
      <w:pPr>
        <w:tabs>
          <w:tab w:val="left" w:pos="5269"/>
        </w:tabs>
        <w:ind w:left="4025" w:hanging="1276"/>
      </w:pPr>
      <w:rPr>
        <w:rFonts w:hint="eastAsia" w:cs="Times New Roman"/>
      </w:rPr>
    </w:lvl>
    <w:lvl w:ilvl="7" w:tentative="0">
      <w:start w:val="1"/>
      <w:numFmt w:val="decimal"/>
      <w:lvlText w:val="%1.%2.%3.%4.%5.%6.%7.%8"/>
      <w:lvlJc w:val="left"/>
      <w:pPr>
        <w:tabs>
          <w:tab w:val="left" w:pos="6054"/>
        </w:tabs>
        <w:ind w:left="4592" w:hanging="1418"/>
      </w:pPr>
      <w:rPr>
        <w:rFonts w:hint="eastAsia" w:cs="Times New Roman"/>
      </w:rPr>
    </w:lvl>
    <w:lvl w:ilvl="8" w:tentative="0">
      <w:start w:val="1"/>
      <w:numFmt w:val="decimal"/>
      <w:lvlText w:val="%1.%2.%3.%4.%5.%6.%7.%8.%9"/>
      <w:lvlJc w:val="left"/>
      <w:pPr>
        <w:tabs>
          <w:tab w:val="left" w:pos="6840"/>
        </w:tabs>
        <w:ind w:left="5300" w:hanging="1700"/>
      </w:pPr>
      <w:rPr>
        <w:rFonts w:hint="eastAsia" w:cs="Times New Roman"/>
      </w:rPr>
    </w:lvl>
  </w:abstractNum>
  <w:abstractNum w:abstractNumId="11">
    <w:nsid w:val="2C5917C3"/>
    <w:multiLevelType w:val="multilevel"/>
    <w:tmpl w:val="2C5917C3"/>
    <w:lvl w:ilvl="0" w:tentative="0">
      <w:start w:val="1"/>
      <w:numFmt w:val="none"/>
      <w:pStyle w:val="53"/>
      <w:suff w:val="nothing"/>
      <w:lvlText w:val="%1——"/>
      <w:lvlJc w:val="left"/>
      <w:pPr>
        <w:ind w:left="833" w:hanging="408"/>
      </w:pPr>
      <w:rPr>
        <w:rFonts w:hint="eastAsia" w:cs="Times New Roman"/>
      </w:rPr>
    </w:lvl>
    <w:lvl w:ilvl="1" w:tentative="0">
      <w:start w:val="1"/>
      <w:numFmt w:val="bullet"/>
      <w:pStyle w:val="54"/>
      <w:lvlText w:val=""/>
      <w:lvlJc w:val="left"/>
      <w:pPr>
        <w:tabs>
          <w:tab w:val="left" w:pos="760"/>
        </w:tabs>
        <w:ind w:left="1264" w:hanging="413"/>
      </w:pPr>
      <w:rPr>
        <w:rFonts w:hint="default" w:ascii="Symbol" w:hAnsi="Symbol"/>
        <w:color w:val="auto"/>
      </w:rPr>
    </w:lvl>
    <w:lvl w:ilvl="2" w:tentative="0">
      <w:start w:val="1"/>
      <w:numFmt w:val="bullet"/>
      <w:pStyle w:val="67"/>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cs="Times New Roman"/>
      </w:rPr>
    </w:lvl>
    <w:lvl w:ilvl="4" w:tentative="0">
      <w:start w:val="1"/>
      <w:numFmt w:val="lowerLetter"/>
      <w:lvlText w:val="%5)"/>
      <w:lvlJc w:val="left"/>
      <w:pPr>
        <w:tabs>
          <w:tab w:val="left" w:pos="2383"/>
        </w:tabs>
        <w:ind w:left="2196" w:hanging="528"/>
      </w:pPr>
      <w:rPr>
        <w:rFonts w:hint="eastAsia" w:cs="Times New Roman"/>
      </w:rPr>
    </w:lvl>
    <w:lvl w:ilvl="5" w:tentative="0">
      <w:start w:val="1"/>
      <w:numFmt w:val="lowerRoman"/>
      <w:lvlText w:val="%6."/>
      <w:lvlJc w:val="right"/>
      <w:pPr>
        <w:tabs>
          <w:tab w:val="left" w:pos="2695"/>
        </w:tabs>
        <w:ind w:left="2508" w:hanging="528"/>
      </w:pPr>
      <w:rPr>
        <w:rFonts w:hint="eastAsia" w:cs="Times New Roman"/>
      </w:rPr>
    </w:lvl>
    <w:lvl w:ilvl="6" w:tentative="0">
      <w:start w:val="1"/>
      <w:numFmt w:val="decimal"/>
      <w:lvlText w:val="%7."/>
      <w:lvlJc w:val="left"/>
      <w:pPr>
        <w:tabs>
          <w:tab w:val="left" w:pos="3007"/>
        </w:tabs>
        <w:ind w:left="2820" w:hanging="528"/>
      </w:pPr>
      <w:rPr>
        <w:rFonts w:hint="eastAsia" w:cs="Times New Roman"/>
      </w:rPr>
    </w:lvl>
    <w:lvl w:ilvl="7" w:tentative="0">
      <w:start w:val="1"/>
      <w:numFmt w:val="lowerLetter"/>
      <w:lvlText w:val="%8)"/>
      <w:lvlJc w:val="left"/>
      <w:pPr>
        <w:tabs>
          <w:tab w:val="left" w:pos="3319"/>
        </w:tabs>
        <w:ind w:left="3132" w:hanging="528"/>
      </w:pPr>
      <w:rPr>
        <w:rFonts w:hint="eastAsia" w:cs="Times New Roman"/>
      </w:rPr>
    </w:lvl>
    <w:lvl w:ilvl="8" w:tentative="0">
      <w:start w:val="1"/>
      <w:numFmt w:val="lowerRoman"/>
      <w:lvlText w:val="%9."/>
      <w:lvlJc w:val="right"/>
      <w:pPr>
        <w:tabs>
          <w:tab w:val="left" w:pos="3631"/>
        </w:tabs>
        <w:ind w:left="3444" w:hanging="528"/>
      </w:pPr>
      <w:rPr>
        <w:rFonts w:hint="eastAsia" w:cs="Times New Roman"/>
      </w:rPr>
    </w:lvl>
  </w:abstractNum>
  <w:abstractNum w:abstractNumId="12">
    <w:nsid w:val="3A1452D4"/>
    <w:multiLevelType w:val="multilevel"/>
    <w:tmpl w:val="3A1452D4"/>
    <w:lvl w:ilvl="0" w:tentative="0">
      <w:start w:val="1"/>
      <w:numFmt w:val="low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3D733618"/>
    <w:multiLevelType w:val="multilevel"/>
    <w:tmpl w:val="3D733618"/>
    <w:lvl w:ilvl="0" w:tentative="0">
      <w:start w:val="1"/>
      <w:numFmt w:val="decimal"/>
      <w:pStyle w:val="28"/>
      <w:lvlText w:val="%1)"/>
      <w:lvlJc w:val="left"/>
      <w:pPr>
        <w:tabs>
          <w:tab w:val="left" w:pos="0"/>
        </w:tabs>
        <w:ind w:left="720" w:hanging="357"/>
      </w:pPr>
      <w:rPr>
        <w:rFonts w:hint="eastAsia" w:cs="Times New Roman"/>
      </w:rPr>
    </w:lvl>
    <w:lvl w:ilvl="1" w:tentative="0">
      <w:start w:val="1"/>
      <w:numFmt w:val="lowerLetter"/>
      <w:lvlText w:val="%2)"/>
      <w:lvlJc w:val="left"/>
      <w:pPr>
        <w:tabs>
          <w:tab w:val="left" w:pos="504"/>
        </w:tabs>
        <w:ind w:left="544" w:hanging="544"/>
      </w:pPr>
      <w:rPr>
        <w:rFonts w:hint="eastAsia" w:cs="Times New Roman"/>
      </w:rPr>
    </w:lvl>
    <w:lvl w:ilvl="2" w:tentative="0">
      <w:start w:val="1"/>
      <w:numFmt w:val="lowerRoman"/>
      <w:lvlText w:val="%3."/>
      <w:lvlJc w:val="right"/>
      <w:pPr>
        <w:tabs>
          <w:tab w:val="left" w:pos="532"/>
        </w:tabs>
        <w:ind w:left="544" w:hanging="544"/>
      </w:pPr>
      <w:rPr>
        <w:rFonts w:hint="eastAsia" w:cs="Times New Roman"/>
      </w:rPr>
    </w:lvl>
    <w:lvl w:ilvl="3" w:tentative="0">
      <w:start w:val="1"/>
      <w:numFmt w:val="decimal"/>
      <w:lvlText w:val="%4."/>
      <w:lvlJc w:val="left"/>
      <w:pPr>
        <w:tabs>
          <w:tab w:val="left" w:pos="560"/>
        </w:tabs>
        <w:ind w:left="544" w:hanging="544"/>
      </w:pPr>
      <w:rPr>
        <w:rFonts w:hint="eastAsia" w:cs="Times New Roman"/>
      </w:rPr>
    </w:lvl>
    <w:lvl w:ilvl="4" w:tentative="0">
      <w:start w:val="1"/>
      <w:numFmt w:val="lowerLetter"/>
      <w:lvlText w:val="%5)"/>
      <w:lvlJc w:val="left"/>
      <w:pPr>
        <w:tabs>
          <w:tab w:val="left" w:pos="588"/>
        </w:tabs>
        <w:ind w:left="544" w:hanging="544"/>
      </w:pPr>
      <w:rPr>
        <w:rFonts w:hint="eastAsia" w:cs="Times New Roman"/>
      </w:rPr>
    </w:lvl>
    <w:lvl w:ilvl="5" w:tentative="0">
      <w:start w:val="1"/>
      <w:numFmt w:val="lowerRoman"/>
      <w:lvlText w:val="%6."/>
      <w:lvlJc w:val="right"/>
      <w:pPr>
        <w:tabs>
          <w:tab w:val="left" w:pos="616"/>
        </w:tabs>
        <w:ind w:left="544" w:hanging="544"/>
      </w:pPr>
      <w:rPr>
        <w:rFonts w:hint="eastAsia" w:cs="Times New Roman"/>
      </w:rPr>
    </w:lvl>
    <w:lvl w:ilvl="6" w:tentative="0">
      <w:start w:val="1"/>
      <w:numFmt w:val="decimal"/>
      <w:lvlText w:val="%7."/>
      <w:lvlJc w:val="left"/>
      <w:pPr>
        <w:tabs>
          <w:tab w:val="left" w:pos="644"/>
        </w:tabs>
        <w:ind w:left="544" w:hanging="544"/>
      </w:pPr>
      <w:rPr>
        <w:rFonts w:hint="eastAsia" w:cs="Times New Roman"/>
      </w:rPr>
    </w:lvl>
    <w:lvl w:ilvl="7" w:tentative="0">
      <w:start w:val="1"/>
      <w:numFmt w:val="lowerLetter"/>
      <w:lvlText w:val="%8)"/>
      <w:lvlJc w:val="left"/>
      <w:pPr>
        <w:tabs>
          <w:tab w:val="left" w:pos="672"/>
        </w:tabs>
        <w:ind w:left="544" w:hanging="544"/>
      </w:pPr>
      <w:rPr>
        <w:rFonts w:hint="eastAsia" w:cs="Times New Roman"/>
      </w:rPr>
    </w:lvl>
    <w:lvl w:ilvl="8" w:tentative="0">
      <w:start w:val="1"/>
      <w:numFmt w:val="lowerRoman"/>
      <w:lvlText w:val="%9."/>
      <w:lvlJc w:val="right"/>
      <w:pPr>
        <w:tabs>
          <w:tab w:val="left" w:pos="700"/>
        </w:tabs>
        <w:ind w:left="544" w:hanging="544"/>
      </w:pPr>
      <w:rPr>
        <w:rFonts w:hint="eastAsia" w:cs="Times New Roman"/>
      </w:rPr>
    </w:lvl>
  </w:abstractNum>
  <w:abstractNum w:abstractNumId="14">
    <w:nsid w:val="44C50F90"/>
    <w:multiLevelType w:val="multilevel"/>
    <w:tmpl w:val="44C50F90"/>
    <w:lvl w:ilvl="0" w:tentative="0">
      <w:start w:val="1"/>
      <w:numFmt w:val="lowerLetter"/>
      <w:pStyle w:val="66"/>
      <w:lvlText w:val="%1)"/>
      <w:lvlJc w:val="left"/>
      <w:pPr>
        <w:tabs>
          <w:tab w:val="left" w:pos="840"/>
        </w:tabs>
        <w:ind w:left="839" w:hanging="419"/>
      </w:pPr>
      <w:rPr>
        <w:rFonts w:hint="eastAsia" w:ascii="宋体" w:eastAsia="宋体" w:cs="Times New Roman"/>
        <w:b w:val="0"/>
        <w:i w:val="0"/>
        <w:sz w:val="21"/>
        <w:szCs w:val="21"/>
      </w:rPr>
    </w:lvl>
    <w:lvl w:ilvl="1" w:tentative="0">
      <w:start w:val="1"/>
      <w:numFmt w:val="decimal"/>
      <w:pStyle w:val="59"/>
      <w:lvlText w:val="%2)"/>
      <w:lvlJc w:val="left"/>
      <w:pPr>
        <w:tabs>
          <w:tab w:val="left" w:pos="1260"/>
        </w:tabs>
        <w:ind w:left="1259" w:hanging="419"/>
      </w:pPr>
      <w:rPr>
        <w:rFonts w:hint="eastAsia" w:cs="Times New Roman"/>
      </w:rPr>
    </w:lvl>
    <w:lvl w:ilvl="2" w:tentative="0">
      <w:start w:val="1"/>
      <w:numFmt w:val="decimal"/>
      <w:pStyle w:val="68"/>
      <w:lvlText w:val="(%3)"/>
      <w:lvlJc w:val="left"/>
      <w:pPr>
        <w:tabs>
          <w:tab w:val="left" w:pos="0"/>
        </w:tabs>
        <w:ind w:left="1679" w:hanging="420"/>
      </w:pPr>
      <w:rPr>
        <w:rFonts w:hint="eastAsia" w:ascii="宋体" w:eastAsia="宋体" w:cs="Times New Roman"/>
        <w:b w:val="0"/>
        <w:i w:val="0"/>
        <w:sz w:val="21"/>
        <w:szCs w:val="21"/>
      </w:rPr>
    </w:lvl>
    <w:lvl w:ilvl="3" w:tentative="0">
      <w:start w:val="1"/>
      <w:numFmt w:val="decimal"/>
      <w:lvlText w:val="%4."/>
      <w:lvlJc w:val="left"/>
      <w:pPr>
        <w:tabs>
          <w:tab w:val="left" w:pos="2100"/>
        </w:tabs>
        <w:ind w:left="2099" w:hanging="419"/>
      </w:pPr>
      <w:rPr>
        <w:rFonts w:hint="eastAsia" w:cs="Times New Roman"/>
      </w:rPr>
    </w:lvl>
    <w:lvl w:ilvl="4" w:tentative="0">
      <w:start w:val="1"/>
      <w:numFmt w:val="lowerLetter"/>
      <w:lvlText w:val="%5)"/>
      <w:lvlJc w:val="left"/>
      <w:pPr>
        <w:tabs>
          <w:tab w:val="left" w:pos="2520"/>
        </w:tabs>
        <w:ind w:left="2519" w:hanging="419"/>
      </w:pPr>
      <w:rPr>
        <w:rFonts w:hint="eastAsia" w:cs="Times New Roman"/>
      </w:rPr>
    </w:lvl>
    <w:lvl w:ilvl="5" w:tentative="0">
      <w:start w:val="1"/>
      <w:numFmt w:val="lowerRoman"/>
      <w:lvlText w:val="%6."/>
      <w:lvlJc w:val="right"/>
      <w:pPr>
        <w:tabs>
          <w:tab w:val="left" w:pos="2940"/>
        </w:tabs>
        <w:ind w:left="2939" w:hanging="419"/>
      </w:pPr>
      <w:rPr>
        <w:rFonts w:hint="eastAsia" w:cs="Times New Roman"/>
      </w:rPr>
    </w:lvl>
    <w:lvl w:ilvl="6" w:tentative="0">
      <w:start w:val="1"/>
      <w:numFmt w:val="decimal"/>
      <w:lvlText w:val="%7."/>
      <w:lvlJc w:val="left"/>
      <w:pPr>
        <w:tabs>
          <w:tab w:val="left" w:pos="3360"/>
        </w:tabs>
        <w:ind w:left="3359" w:hanging="419"/>
      </w:pPr>
      <w:rPr>
        <w:rFonts w:hint="eastAsia" w:cs="Times New Roman"/>
      </w:rPr>
    </w:lvl>
    <w:lvl w:ilvl="7" w:tentative="0">
      <w:start w:val="1"/>
      <w:numFmt w:val="lowerLetter"/>
      <w:lvlText w:val="%8)"/>
      <w:lvlJc w:val="left"/>
      <w:pPr>
        <w:tabs>
          <w:tab w:val="left" w:pos="3780"/>
        </w:tabs>
        <w:ind w:left="3779" w:hanging="419"/>
      </w:pPr>
      <w:rPr>
        <w:rFonts w:hint="eastAsia" w:cs="Times New Roman"/>
      </w:rPr>
    </w:lvl>
    <w:lvl w:ilvl="8" w:tentative="0">
      <w:start w:val="1"/>
      <w:numFmt w:val="lowerRoman"/>
      <w:lvlText w:val="%9."/>
      <w:lvlJc w:val="right"/>
      <w:pPr>
        <w:tabs>
          <w:tab w:val="left" w:pos="4200"/>
        </w:tabs>
        <w:ind w:left="4199" w:hanging="419"/>
      </w:pPr>
      <w:rPr>
        <w:rFonts w:hint="eastAsia" w:cs="Times New Roman"/>
      </w:rPr>
    </w:lvl>
  </w:abstractNum>
  <w:abstractNum w:abstractNumId="15">
    <w:nsid w:val="47C5AF90"/>
    <w:multiLevelType w:val="multilevel"/>
    <w:tmpl w:val="47C5AF90"/>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6">
    <w:nsid w:val="5BDE790F"/>
    <w:multiLevelType w:val="multilevel"/>
    <w:tmpl w:val="5BDE790F"/>
    <w:lvl w:ilvl="0" w:tentative="0">
      <w:start w:val="1"/>
      <w:numFmt w:val="low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60B55DC2"/>
    <w:multiLevelType w:val="multilevel"/>
    <w:tmpl w:val="60B55DC2"/>
    <w:lvl w:ilvl="0" w:tentative="0">
      <w:start w:val="1"/>
      <w:numFmt w:val="upperLetter"/>
      <w:pStyle w:val="93"/>
      <w:lvlText w:val="%1"/>
      <w:lvlJc w:val="left"/>
      <w:pPr>
        <w:tabs>
          <w:tab w:val="left" w:pos="0"/>
        </w:tabs>
        <w:ind w:hanging="425"/>
      </w:pPr>
      <w:rPr>
        <w:rFonts w:hint="eastAsia" w:cs="Times New Roman"/>
      </w:rPr>
    </w:lvl>
    <w:lvl w:ilvl="1" w:tentative="0">
      <w:start w:val="1"/>
      <w:numFmt w:val="decimal"/>
      <w:pStyle w:val="94"/>
      <w:suff w:val="nothing"/>
      <w:lvlText w:val="表%1.%2　"/>
      <w:lvlJc w:val="left"/>
      <w:pPr>
        <w:ind w:left="567" w:hanging="567"/>
      </w:pPr>
      <w:rPr>
        <w:rFonts w:hint="eastAsia" w:cs="Times New Roman"/>
      </w:rPr>
    </w:lvl>
    <w:lvl w:ilvl="2" w:tentative="0">
      <w:start w:val="1"/>
      <w:numFmt w:val="decimal"/>
      <w:lvlText w:val="%1.%2.%3"/>
      <w:lvlJc w:val="left"/>
      <w:pPr>
        <w:tabs>
          <w:tab w:val="left" w:pos="993"/>
        </w:tabs>
        <w:ind w:left="993" w:hanging="567"/>
      </w:pPr>
      <w:rPr>
        <w:rFonts w:hint="eastAsia" w:cs="Times New Roman"/>
      </w:rPr>
    </w:lvl>
    <w:lvl w:ilvl="3" w:tentative="0">
      <w:start w:val="1"/>
      <w:numFmt w:val="decimal"/>
      <w:lvlText w:val="%1.%2.%3.%4"/>
      <w:lvlJc w:val="left"/>
      <w:pPr>
        <w:tabs>
          <w:tab w:val="left" w:pos="2291"/>
        </w:tabs>
        <w:ind w:left="1559" w:hanging="708"/>
      </w:pPr>
      <w:rPr>
        <w:rFonts w:hint="eastAsia" w:cs="Times New Roman"/>
      </w:rPr>
    </w:lvl>
    <w:lvl w:ilvl="4" w:tentative="0">
      <w:start w:val="1"/>
      <w:numFmt w:val="decimal"/>
      <w:lvlText w:val="%1.%2.%3.%4.%5"/>
      <w:lvlJc w:val="left"/>
      <w:pPr>
        <w:tabs>
          <w:tab w:val="left" w:pos="3076"/>
        </w:tabs>
        <w:ind w:left="2126" w:hanging="850"/>
      </w:pPr>
      <w:rPr>
        <w:rFonts w:hint="eastAsia" w:cs="Times New Roman"/>
      </w:rPr>
    </w:lvl>
    <w:lvl w:ilvl="5" w:tentative="0">
      <w:start w:val="1"/>
      <w:numFmt w:val="decimal"/>
      <w:lvlText w:val="%1.%2.%3.%4.%5.%6"/>
      <w:lvlJc w:val="left"/>
      <w:pPr>
        <w:tabs>
          <w:tab w:val="left" w:pos="3861"/>
        </w:tabs>
        <w:ind w:left="2835" w:hanging="1134"/>
      </w:pPr>
      <w:rPr>
        <w:rFonts w:hint="eastAsia" w:cs="Times New Roman"/>
      </w:rPr>
    </w:lvl>
    <w:lvl w:ilvl="6" w:tentative="0">
      <w:start w:val="1"/>
      <w:numFmt w:val="decimal"/>
      <w:lvlText w:val="%1.%2.%3.%4.%5.%6.%7"/>
      <w:lvlJc w:val="left"/>
      <w:pPr>
        <w:tabs>
          <w:tab w:val="left" w:pos="4646"/>
        </w:tabs>
        <w:ind w:left="3402" w:hanging="1276"/>
      </w:pPr>
      <w:rPr>
        <w:rFonts w:hint="eastAsia" w:cs="Times New Roman"/>
      </w:rPr>
    </w:lvl>
    <w:lvl w:ilvl="7" w:tentative="0">
      <w:start w:val="1"/>
      <w:numFmt w:val="decimal"/>
      <w:lvlText w:val="%1.%2.%3.%4.%5.%6.%7.%8"/>
      <w:lvlJc w:val="left"/>
      <w:pPr>
        <w:tabs>
          <w:tab w:val="left" w:pos="5431"/>
        </w:tabs>
        <w:ind w:left="3969" w:hanging="1418"/>
      </w:pPr>
      <w:rPr>
        <w:rFonts w:hint="eastAsia" w:cs="Times New Roman"/>
      </w:rPr>
    </w:lvl>
    <w:lvl w:ilvl="8" w:tentative="0">
      <w:start w:val="1"/>
      <w:numFmt w:val="decimal"/>
      <w:lvlText w:val="%1.%2.%3.%4.%5.%6.%7.%8.%9"/>
      <w:lvlJc w:val="left"/>
      <w:pPr>
        <w:tabs>
          <w:tab w:val="left" w:pos="6217"/>
        </w:tabs>
        <w:ind w:left="4677" w:hanging="1700"/>
      </w:pPr>
      <w:rPr>
        <w:rFonts w:hint="eastAsia" w:cs="Times New Roman"/>
      </w:rPr>
    </w:lvl>
  </w:abstractNum>
  <w:abstractNum w:abstractNumId="18">
    <w:nsid w:val="646260FA"/>
    <w:multiLevelType w:val="multilevel"/>
    <w:tmpl w:val="646260FA"/>
    <w:lvl w:ilvl="0" w:tentative="0">
      <w:start w:val="1"/>
      <w:numFmt w:val="decimal"/>
      <w:pStyle w:val="165"/>
      <w:suff w:val="nothing"/>
      <w:lvlText w:val="表%1　"/>
      <w:lvlJc w:val="left"/>
      <w:pPr>
        <w:ind w:left="3969"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9">
    <w:nsid w:val="657D3FBC"/>
    <w:multiLevelType w:val="multilevel"/>
    <w:tmpl w:val="657D3FBC"/>
    <w:lvl w:ilvl="0" w:tentative="0">
      <w:start w:val="1"/>
      <w:numFmt w:val="upperLetter"/>
      <w:pStyle w:val="91"/>
      <w:suff w:val="nothing"/>
      <w:lvlText w:val="附　录　%1"/>
      <w:lvlJc w:val="left"/>
      <w:rPr>
        <w:rFonts w:hint="eastAsia" w:ascii="黑体" w:hAnsi="Times New Roman" w:eastAsia="黑体" w:cs="Times New Roman"/>
        <w:b w:val="0"/>
        <w:i w:val="0"/>
        <w:spacing w:val="0"/>
        <w:w w:val="100"/>
        <w:sz w:val="21"/>
      </w:rPr>
    </w:lvl>
    <w:lvl w:ilvl="1" w:tentative="0">
      <w:start w:val="1"/>
      <w:numFmt w:val="decimal"/>
      <w:pStyle w:val="109"/>
      <w:suff w:val="nothing"/>
      <w:lvlText w:val="%1.%2　"/>
      <w:lvlJc w:val="left"/>
      <w:rPr>
        <w:rFonts w:hint="eastAsia" w:ascii="黑体" w:hAnsi="Times New Roman" w:eastAsia="黑体" w:cs="Times New Roman"/>
        <w:b w:val="0"/>
        <w:i w:val="0"/>
        <w:snapToGrid/>
        <w:spacing w:val="0"/>
        <w:w w:val="100"/>
        <w:kern w:val="21"/>
        <w:sz w:val="21"/>
      </w:rPr>
    </w:lvl>
    <w:lvl w:ilvl="2" w:tentative="0">
      <w:start w:val="1"/>
      <w:numFmt w:val="decimal"/>
      <w:pStyle w:val="110"/>
      <w:suff w:val="nothing"/>
      <w:lvlText w:val="%1.%2.%3　"/>
      <w:lvlJc w:val="left"/>
      <w:rPr>
        <w:rFonts w:hint="eastAsia" w:ascii="黑体" w:hAnsi="Times New Roman" w:eastAsia="黑体" w:cs="Times New Roman"/>
        <w:b w:val="0"/>
        <w:i w:val="0"/>
        <w:sz w:val="21"/>
      </w:rPr>
    </w:lvl>
    <w:lvl w:ilvl="3" w:tentative="0">
      <w:start w:val="1"/>
      <w:numFmt w:val="decimal"/>
      <w:pStyle w:val="95"/>
      <w:suff w:val="nothing"/>
      <w:lvlText w:val="%1.%2.%3.%4　"/>
      <w:lvlJc w:val="left"/>
      <w:rPr>
        <w:rFonts w:hint="eastAsia" w:ascii="黑体" w:hAnsi="Times New Roman" w:eastAsia="黑体" w:cs="Times New Roman"/>
        <w:b w:val="0"/>
        <w:i w:val="0"/>
        <w:sz w:val="21"/>
      </w:rPr>
    </w:lvl>
    <w:lvl w:ilvl="4" w:tentative="0">
      <w:start w:val="1"/>
      <w:numFmt w:val="decimal"/>
      <w:pStyle w:val="100"/>
      <w:suff w:val="nothing"/>
      <w:lvlText w:val="%1.%2.%3.%4.%5　"/>
      <w:lvlJc w:val="left"/>
      <w:rPr>
        <w:rFonts w:hint="eastAsia" w:ascii="黑体" w:hAnsi="Times New Roman" w:eastAsia="黑体" w:cs="Times New Roman"/>
        <w:b w:val="0"/>
        <w:i w:val="0"/>
        <w:sz w:val="21"/>
      </w:rPr>
    </w:lvl>
    <w:lvl w:ilvl="5" w:tentative="0">
      <w:start w:val="1"/>
      <w:numFmt w:val="decimal"/>
      <w:pStyle w:val="103"/>
      <w:suff w:val="nothing"/>
      <w:lvlText w:val="%1.%2.%3.%4.%5.%6　"/>
      <w:lvlJc w:val="left"/>
      <w:rPr>
        <w:rFonts w:hint="eastAsia" w:ascii="黑体" w:hAnsi="Times New Roman" w:eastAsia="黑体" w:cs="Times New Roman"/>
        <w:b w:val="0"/>
        <w:i w:val="0"/>
        <w:sz w:val="21"/>
      </w:rPr>
    </w:lvl>
    <w:lvl w:ilvl="6" w:tentative="0">
      <w:start w:val="1"/>
      <w:numFmt w:val="decimal"/>
      <w:pStyle w:val="107"/>
      <w:suff w:val="nothing"/>
      <w:lvlText w:val="%1.%2.%3.%4.%5.%6.%7　"/>
      <w:lvlJc w:val="left"/>
      <w:rPr>
        <w:rFonts w:hint="eastAsia" w:ascii="黑体" w:hAnsi="Times New Roman" w:eastAsia="黑体" w:cs="Times New Roman"/>
        <w:b w:val="0"/>
        <w:i w:val="0"/>
        <w:sz w:val="21"/>
      </w:rPr>
    </w:lvl>
    <w:lvl w:ilvl="7" w:tentative="0">
      <w:start w:val="1"/>
      <w:numFmt w:val="decimal"/>
      <w:lvlText w:val="%1.%2.%3.%4.%5.%6.%7.%8"/>
      <w:lvlJc w:val="left"/>
      <w:pPr>
        <w:tabs>
          <w:tab w:val="left" w:pos="4394"/>
        </w:tabs>
        <w:ind w:left="4394" w:hanging="1418"/>
      </w:pPr>
      <w:rPr>
        <w:rFonts w:hint="eastAsia" w:cs="Times New Roman"/>
      </w:rPr>
    </w:lvl>
    <w:lvl w:ilvl="8" w:tentative="0">
      <w:start w:val="1"/>
      <w:numFmt w:val="decimal"/>
      <w:lvlText w:val="%1.%2.%3.%4.%5.%6.%7.%8.%9"/>
      <w:lvlJc w:val="left"/>
      <w:pPr>
        <w:tabs>
          <w:tab w:val="left" w:pos="5102"/>
        </w:tabs>
        <w:ind w:left="5102" w:hanging="1700"/>
      </w:pPr>
      <w:rPr>
        <w:rFonts w:hint="eastAsia" w:cs="Times New Roman"/>
      </w:rPr>
    </w:lvl>
  </w:abstractNum>
  <w:abstractNum w:abstractNumId="20">
    <w:nsid w:val="68074AA6"/>
    <w:multiLevelType w:val="multilevel"/>
    <w:tmpl w:val="68074AA6"/>
    <w:lvl w:ilvl="0" w:tentative="0">
      <w:start w:val="1"/>
      <w:numFmt w:val="low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6BFFE08D"/>
    <w:multiLevelType w:val="singleLevel"/>
    <w:tmpl w:val="6BFFE08D"/>
    <w:lvl w:ilvl="0" w:tentative="0">
      <w:start w:val="1"/>
      <w:numFmt w:val="decimal"/>
      <w:lvlText w:val="[%1]"/>
      <w:lvlJc w:val="left"/>
      <w:pPr>
        <w:tabs>
          <w:tab w:val="left" w:pos="420"/>
        </w:tabs>
        <w:ind w:left="425" w:hanging="425"/>
      </w:pPr>
      <w:rPr>
        <w:rFonts w:hint="default"/>
      </w:rPr>
    </w:lvl>
  </w:abstractNum>
  <w:abstractNum w:abstractNumId="22">
    <w:nsid w:val="6D6C07CD"/>
    <w:multiLevelType w:val="multilevel"/>
    <w:tmpl w:val="6D6C07CD"/>
    <w:lvl w:ilvl="0" w:tentative="0">
      <w:start w:val="1"/>
      <w:numFmt w:val="lowerLetter"/>
      <w:pStyle w:val="112"/>
      <w:lvlText w:val="%1)"/>
      <w:lvlJc w:val="left"/>
      <w:pPr>
        <w:tabs>
          <w:tab w:val="left" w:pos="839"/>
        </w:tabs>
        <w:ind w:left="839" w:hanging="419"/>
      </w:pPr>
      <w:rPr>
        <w:rFonts w:hint="eastAsia" w:ascii="宋体" w:eastAsia="宋体" w:cs="Times New Roman"/>
        <w:b w:val="0"/>
        <w:i w:val="0"/>
        <w:sz w:val="21"/>
      </w:rPr>
    </w:lvl>
    <w:lvl w:ilvl="1" w:tentative="0">
      <w:start w:val="1"/>
      <w:numFmt w:val="decimal"/>
      <w:pStyle w:val="102"/>
      <w:lvlText w:val="%2)"/>
      <w:lvlJc w:val="left"/>
      <w:pPr>
        <w:tabs>
          <w:tab w:val="left" w:pos="840"/>
        </w:tabs>
        <w:ind w:left="839" w:hanging="419"/>
      </w:pPr>
      <w:rPr>
        <w:rFonts w:hint="eastAsia" w:ascii="宋体" w:eastAsia="宋体" w:cs="Times New Roman"/>
        <w:b w:val="0"/>
        <w:i w:val="0"/>
        <w:sz w:val="21"/>
      </w:rPr>
    </w:lvl>
    <w:lvl w:ilvl="2" w:tentative="0">
      <w:start w:val="1"/>
      <w:numFmt w:val="lowerRoman"/>
      <w:lvlText w:val="%3."/>
      <w:lvlJc w:val="right"/>
      <w:pPr>
        <w:tabs>
          <w:tab w:val="left" w:pos="1260"/>
        </w:tabs>
        <w:ind w:left="1259" w:hanging="419"/>
      </w:pPr>
      <w:rPr>
        <w:rFonts w:hint="eastAsia" w:cs="Times New Roman"/>
      </w:rPr>
    </w:lvl>
    <w:lvl w:ilvl="3" w:tentative="0">
      <w:start w:val="1"/>
      <w:numFmt w:val="decimal"/>
      <w:lvlText w:val="%4."/>
      <w:lvlJc w:val="left"/>
      <w:pPr>
        <w:tabs>
          <w:tab w:val="left" w:pos="1680"/>
        </w:tabs>
        <w:ind w:left="1679" w:hanging="419"/>
      </w:pPr>
      <w:rPr>
        <w:rFonts w:hint="eastAsia" w:cs="Times New Roman"/>
      </w:rPr>
    </w:lvl>
    <w:lvl w:ilvl="4" w:tentative="0">
      <w:start w:val="1"/>
      <w:numFmt w:val="lowerLetter"/>
      <w:lvlText w:val="%5)"/>
      <w:lvlJc w:val="left"/>
      <w:pPr>
        <w:tabs>
          <w:tab w:val="left" w:pos="2100"/>
        </w:tabs>
        <w:ind w:left="2099" w:hanging="419"/>
      </w:pPr>
      <w:rPr>
        <w:rFonts w:hint="eastAsia" w:cs="Times New Roman"/>
      </w:rPr>
    </w:lvl>
    <w:lvl w:ilvl="5" w:tentative="0">
      <w:start w:val="1"/>
      <w:numFmt w:val="lowerRoman"/>
      <w:lvlText w:val="%6."/>
      <w:lvlJc w:val="right"/>
      <w:pPr>
        <w:tabs>
          <w:tab w:val="left" w:pos="2520"/>
        </w:tabs>
        <w:ind w:left="2519" w:hanging="419"/>
      </w:pPr>
      <w:rPr>
        <w:rFonts w:hint="eastAsia" w:cs="Times New Roman"/>
      </w:rPr>
    </w:lvl>
    <w:lvl w:ilvl="6" w:tentative="0">
      <w:start w:val="1"/>
      <w:numFmt w:val="decimal"/>
      <w:lvlText w:val="%7."/>
      <w:lvlJc w:val="left"/>
      <w:pPr>
        <w:tabs>
          <w:tab w:val="left" w:pos="2940"/>
        </w:tabs>
        <w:ind w:left="2939" w:hanging="419"/>
      </w:pPr>
      <w:rPr>
        <w:rFonts w:hint="eastAsia" w:cs="Times New Roman"/>
      </w:rPr>
    </w:lvl>
    <w:lvl w:ilvl="7" w:tentative="0">
      <w:start w:val="1"/>
      <w:numFmt w:val="lowerLetter"/>
      <w:lvlText w:val="%8)"/>
      <w:lvlJc w:val="left"/>
      <w:pPr>
        <w:tabs>
          <w:tab w:val="left" w:pos="3360"/>
        </w:tabs>
        <w:ind w:left="3359" w:hanging="419"/>
      </w:pPr>
      <w:rPr>
        <w:rFonts w:hint="eastAsia" w:cs="Times New Roman"/>
      </w:rPr>
    </w:lvl>
    <w:lvl w:ilvl="8" w:tentative="0">
      <w:start w:val="1"/>
      <w:numFmt w:val="lowerRoman"/>
      <w:lvlText w:val="%9."/>
      <w:lvlJc w:val="right"/>
      <w:pPr>
        <w:tabs>
          <w:tab w:val="left" w:pos="3780"/>
        </w:tabs>
        <w:ind w:left="3779" w:hanging="419"/>
      </w:pPr>
      <w:rPr>
        <w:rFonts w:hint="eastAsia" w:cs="Times New Roman"/>
      </w:rPr>
    </w:lvl>
  </w:abstractNum>
  <w:abstractNum w:abstractNumId="23">
    <w:nsid w:val="6DFA1C03"/>
    <w:multiLevelType w:val="multilevel"/>
    <w:tmpl w:val="6DFA1C03"/>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4">
    <w:nsid w:val="6F7123FD"/>
    <w:multiLevelType w:val="multilevel"/>
    <w:tmpl w:val="6F7123FD"/>
    <w:lvl w:ilvl="0" w:tentative="0">
      <w:start w:val="1"/>
      <w:numFmt w:val="decimal"/>
      <w:lvlText w:val="%1"/>
      <w:lvlJc w:val="left"/>
      <w:pPr>
        <w:ind w:left="425" w:hanging="425"/>
      </w:pPr>
    </w:lvl>
    <w:lvl w:ilvl="1" w:tentative="0">
      <w:start w:val="1"/>
      <w:numFmt w:val="decimal"/>
      <w:lvlText w:val="%1.%2"/>
      <w:lvlJc w:val="left"/>
      <w:pPr>
        <w:ind w:left="992" w:hanging="567"/>
      </w:pPr>
      <w:rPr>
        <w:rFonts w:ascii="黑体" w:hAnsi="黑体" w:eastAsia="黑体"/>
        <w:b w:val="0"/>
        <w:bCs w:val="0"/>
      </w:rPr>
    </w:lvl>
    <w:lvl w:ilvl="2" w:tentative="0">
      <w:start w:val="1"/>
      <w:numFmt w:val="decimal"/>
      <w:lvlText w:val="%1.%2.%3"/>
      <w:lvlJc w:val="left"/>
      <w:pPr>
        <w:ind w:left="1418" w:hanging="567"/>
      </w:pPr>
      <w:rPr>
        <w:rFonts w:ascii="黑体" w:hAnsi="黑体" w:eastAsia="黑体"/>
      </w:rPr>
    </w:lvl>
    <w:lvl w:ilvl="3" w:tentative="0">
      <w:start w:val="1"/>
      <w:numFmt w:val="decimal"/>
      <w:lvlText w:val="%1.%2.%3.%4"/>
      <w:lvlJc w:val="left"/>
      <w:pPr>
        <w:ind w:left="1984" w:hanging="708"/>
      </w:pPr>
      <w:rPr>
        <w:rFonts w:ascii="黑体" w:hAnsi="黑体" w:eastAsia="黑体"/>
      </w:r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13"/>
  </w:num>
  <w:num w:numId="2">
    <w:abstractNumId w:val="8"/>
  </w:num>
  <w:num w:numId="3">
    <w:abstractNumId w:val="11"/>
  </w:num>
  <w:num w:numId="4">
    <w:abstractNumId w:val="14"/>
  </w:num>
  <w:num w:numId="5">
    <w:abstractNumId w:val="7"/>
  </w:num>
  <w:num w:numId="6">
    <w:abstractNumId w:val="19"/>
  </w:num>
  <w:num w:numId="7">
    <w:abstractNumId w:val="17"/>
  </w:num>
  <w:num w:numId="8">
    <w:abstractNumId w:val="22"/>
  </w:num>
  <w:num w:numId="9">
    <w:abstractNumId w:val="10"/>
  </w:num>
  <w:num w:numId="10">
    <w:abstractNumId w:val="18"/>
  </w:num>
  <w:num w:numId="11">
    <w:abstractNumId w:val="24"/>
  </w:num>
  <w:num w:numId="12">
    <w:abstractNumId w:val="6"/>
  </w:num>
  <w:num w:numId="13">
    <w:abstractNumId w:val="3"/>
  </w:num>
  <w:num w:numId="14">
    <w:abstractNumId w:val="0"/>
  </w:num>
  <w:num w:numId="15">
    <w:abstractNumId w:val="16"/>
  </w:num>
  <w:num w:numId="16">
    <w:abstractNumId w:val="20"/>
  </w:num>
  <w:num w:numId="17">
    <w:abstractNumId w:val="4"/>
  </w:num>
  <w:num w:numId="18">
    <w:abstractNumId w:val="2"/>
  </w:num>
  <w:num w:numId="19">
    <w:abstractNumId w:val="12"/>
  </w:num>
  <w:num w:numId="20">
    <w:abstractNumId w:val="9"/>
  </w:num>
  <w:num w:numId="21">
    <w:abstractNumId w:val="15"/>
  </w:num>
  <w:num w:numId="22">
    <w:abstractNumId w:val="5"/>
  </w:num>
  <w:num w:numId="23">
    <w:abstractNumId w:val="23"/>
  </w:num>
  <w:num w:numId="24">
    <w:abstractNumId w:val="1"/>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420"/>
  <w:displayHorizontalDrawingGridEvery w:val="1"/>
  <w:displayVerticalDrawingGridEvery w:val="1"/>
  <w:noPunctuationKerning w:val="1"/>
  <w:characterSpacingControl w:val="doNotCompress"/>
  <w:noLineBreaksAfter w:lang="zh-CN" w:val="$([{£¥·‘“〈《「『【〔〖〝﹙﹛﹝＄（．［｛￡￥"/>
  <w:noLineBreaksBefore w:lang="zh-CN" w:val="!%),.:;&gt;?]}¢¨°·ˇˉ―‖’”…‰′″›℃∶、。〃〉》」』】〕〗〞︶︺︾﹀﹄﹚﹜﹞！＂％＇），．：；？］｀｜｝～￠"/>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hOWUyYTU2ZjgyMDUxYTAzMjYwOGI1MWIxM2M3NzMifQ=="/>
    <w:docVar w:name="KSO_WPS_MARK_KEY" w:val="07965469-d208-486c-a6b5-feecdcffd2af"/>
  </w:docVars>
  <w:rsids>
    <w:rsidRoot w:val="00035925"/>
    <w:rsid w:val="00000244"/>
    <w:rsid w:val="0000185F"/>
    <w:rsid w:val="00002ACD"/>
    <w:rsid w:val="00003EBE"/>
    <w:rsid w:val="0000586F"/>
    <w:rsid w:val="00013265"/>
    <w:rsid w:val="00013D86"/>
    <w:rsid w:val="00013E02"/>
    <w:rsid w:val="0001552E"/>
    <w:rsid w:val="0002143C"/>
    <w:rsid w:val="00021B0F"/>
    <w:rsid w:val="00022C39"/>
    <w:rsid w:val="00023859"/>
    <w:rsid w:val="00025105"/>
    <w:rsid w:val="00025A65"/>
    <w:rsid w:val="00025DE8"/>
    <w:rsid w:val="00026C31"/>
    <w:rsid w:val="00027280"/>
    <w:rsid w:val="000320A7"/>
    <w:rsid w:val="00032114"/>
    <w:rsid w:val="0003454A"/>
    <w:rsid w:val="00035925"/>
    <w:rsid w:val="00037AC0"/>
    <w:rsid w:val="00042747"/>
    <w:rsid w:val="000431E4"/>
    <w:rsid w:val="000436ED"/>
    <w:rsid w:val="0005649B"/>
    <w:rsid w:val="00056DCE"/>
    <w:rsid w:val="000573E7"/>
    <w:rsid w:val="000606E0"/>
    <w:rsid w:val="000649DD"/>
    <w:rsid w:val="00064D1D"/>
    <w:rsid w:val="0006586F"/>
    <w:rsid w:val="00067CDF"/>
    <w:rsid w:val="00070718"/>
    <w:rsid w:val="000711A9"/>
    <w:rsid w:val="000725CF"/>
    <w:rsid w:val="00072CB2"/>
    <w:rsid w:val="0007321C"/>
    <w:rsid w:val="000742DA"/>
    <w:rsid w:val="00074FBE"/>
    <w:rsid w:val="00081364"/>
    <w:rsid w:val="00081B7B"/>
    <w:rsid w:val="00082E4F"/>
    <w:rsid w:val="00083439"/>
    <w:rsid w:val="00083A09"/>
    <w:rsid w:val="00085DB2"/>
    <w:rsid w:val="0009005E"/>
    <w:rsid w:val="00090C76"/>
    <w:rsid w:val="00091078"/>
    <w:rsid w:val="00092857"/>
    <w:rsid w:val="000960B0"/>
    <w:rsid w:val="00096839"/>
    <w:rsid w:val="00097BC0"/>
    <w:rsid w:val="000A0630"/>
    <w:rsid w:val="000A20A9"/>
    <w:rsid w:val="000A48B1"/>
    <w:rsid w:val="000A49BC"/>
    <w:rsid w:val="000A6993"/>
    <w:rsid w:val="000B0A1A"/>
    <w:rsid w:val="000B17E0"/>
    <w:rsid w:val="000B3143"/>
    <w:rsid w:val="000C526D"/>
    <w:rsid w:val="000C6B05"/>
    <w:rsid w:val="000C6DD6"/>
    <w:rsid w:val="000C73D4"/>
    <w:rsid w:val="000C7766"/>
    <w:rsid w:val="000D3040"/>
    <w:rsid w:val="000D33A4"/>
    <w:rsid w:val="000D3D4C"/>
    <w:rsid w:val="000D4057"/>
    <w:rsid w:val="000D4703"/>
    <w:rsid w:val="000D4986"/>
    <w:rsid w:val="000D4F51"/>
    <w:rsid w:val="000D6EDE"/>
    <w:rsid w:val="000D718B"/>
    <w:rsid w:val="000E0C46"/>
    <w:rsid w:val="000E1137"/>
    <w:rsid w:val="000E5730"/>
    <w:rsid w:val="000F030C"/>
    <w:rsid w:val="000F0616"/>
    <w:rsid w:val="000F129C"/>
    <w:rsid w:val="000F2682"/>
    <w:rsid w:val="000F26E5"/>
    <w:rsid w:val="000F6B24"/>
    <w:rsid w:val="00101890"/>
    <w:rsid w:val="00103885"/>
    <w:rsid w:val="0010538F"/>
    <w:rsid w:val="001056DE"/>
    <w:rsid w:val="001124C0"/>
    <w:rsid w:val="0012308F"/>
    <w:rsid w:val="00126206"/>
    <w:rsid w:val="00130A63"/>
    <w:rsid w:val="00130DFB"/>
    <w:rsid w:val="0013175F"/>
    <w:rsid w:val="0013456D"/>
    <w:rsid w:val="00136A38"/>
    <w:rsid w:val="001373A6"/>
    <w:rsid w:val="00137823"/>
    <w:rsid w:val="00142D2C"/>
    <w:rsid w:val="00144828"/>
    <w:rsid w:val="00146842"/>
    <w:rsid w:val="00146ADD"/>
    <w:rsid w:val="00146BF8"/>
    <w:rsid w:val="0015032E"/>
    <w:rsid w:val="00150DD4"/>
    <w:rsid w:val="001512B4"/>
    <w:rsid w:val="00152A56"/>
    <w:rsid w:val="00153240"/>
    <w:rsid w:val="00161FBD"/>
    <w:rsid w:val="001620A5"/>
    <w:rsid w:val="00164E53"/>
    <w:rsid w:val="00164F78"/>
    <w:rsid w:val="00165485"/>
    <w:rsid w:val="0016699D"/>
    <w:rsid w:val="00175159"/>
    <w:rsid w:val="00175485"/>
    <w:rsid w:val="001756C6"/>
    <w:rsid w:val="00176208"/>
    <w:rsid w:val="00176C14"/>
    <w:rsid w:val="00176DCB"/>
    <w:rsid w:val="0018016F"/>
    <w:rsid w:val="00181759"/>
    <w:rsid w:val="0018211B"/>
    <w:rsid w:val="00182E31"/>
    <w:rsid w:val="0018401B"/>
    <w:rsid w:val="001840D3"/>
    <w:rsid w:val="00185487"/>
    <w:rsid w:val="00186FD5"/>
    <w:rsid w:val="001900F8"/>
    <w:rsid w:val="00191258"/>
    <w:rsid w:val="001914AB"/>
    <w:rsid w:val="00191885"/>
    <w:rsid w:val="0019245A"/>
    <w:rsid w:val="00192680"/>
    <w:rsid w:val="00193037"/>
    <w:rsid w:val="00193A2C"/>
    <w:rsid w:val="00193B0A"/>
    <w:rsid w:val="00194167"/>
    <w:rsid w:val="001A288E"/>
    <w:rsid w:val="001A5063"/>
    <w:rsid w:val="001A5A69"/>
    <w:rsid w:val="001A67B5"/>
    <w:rsid w:val="001B31C4"/>
    <w:rsid w:val="001B3368"/>
    <w:rsid w:val="001B38B0"/>
    <w:rsid w:val="001B3F40"/>
    <w:rsid w:val="001B454E"/>
    <w:rsid w:val="001B6DC2"/>
    <w:rsid w:val="001C02C7"/>
    <w:rsid w:val="001C149C"/>
    <w:rsid w:val="001C21AC"/>
    <w:rsid w:val="001C47BA"/>
    <w:rsid w:val="001C59EA"/>
    <w:rsid w:val="001C6CD8"/>
    <w:rsid w:val="001D1AB5"/>
    <w:rsid w:val="001D1E5C"/>
    <w:rsid w:val="001D2AED"/>
    <w:rsid w:val="001D406C"/>
    <w:rsid w:val="001D41EE"/>
    <w:rsid w:val="001D7336"/>
    <w:rsid w:val="001E0380"/>
    <w:rsid w:val="001E0D42"/>
    <w:rsid w:val="001E13B1"/>
    <w:rsid w:val="001E6A85"/>
    <w:rsid w:val="001F2FEF"/>
    <w:rsid w:val="001F316C"/>
    <w:rsid w:val="001F3A19"/>
    <w:rsid w:val="001F49A3"/>
    <w:rsid w:val="001F7EEA"/>
    <w:rsid w:val="00203796"/>
    <w:rsid w:val="002040F4"/>
    <w:rsid w:val="002054B8"/>
    <w:rsid w:val="00205528"/>
    <w:rsid w:val="00210D73"/>
    <w:rsid w:val="00211DE8"/>
    <w:rsid w:val="0021483F"/>
    <w:rsid w:val="00216564"/>
    <w:rsid w:val="00220689"/>
    <w:rsid w:val="0023431B"/>
    <w:rsid w:val="00234467"/>
    <w:rsid w:val="0023568E"/>
    <w:rsid w:val="00237D8D"/>
    <w:rsid w:val="002401CA"/>
    <w:rsid w:val="0024160A"/>
    <w:rsid w:val="00241DA2"/>
    <w:rsid w:val="0024341D"/>
    <w:rsid w:val="002435D2"/>
    <w:rsid w:val="002437FF"/>
    <w:rsid w:val="00247FEE"/>
    <w:rsid w:val="00250E7D"/>
    <w:rsid w:val="00255300"/>
    <w:rsid w:val="002565D5"/>
    <w:rsid w:val="00256D37"/>
    <w:rsid w:val="00256FA5"/>
    <w:rsid w:val="00257130"/>
    <w:rsid w:val="00257BB3"/>
    <w:rsid w:val="00261F78"/>
    <w:rsid w:val="002622C0"/>
    <w:rsid w:val="00272DC5"/>
    <w:rsid w:val="00273DE0"/>
    <w:rsid w:val="002767B0"/>
    <w:rsid w:val="002774CA"/>
    <w:rsid w:val="002778AE"/>
    <w:rsid w:val="0028269A"/>
    <w:rsid w:val="00283590"/>
    <w:rsid w:val="00285957"/>
    <w:rsid w:val="00286973"/>
    <w:rsid w:val="00286DEC"/>
    <w:rsid w:val="002930A8"/>
    <w:rsid w:val="00294E70"/>
    <w:rsid w:val="00297FE5"/>
    <w:rsid w:val="002A0B0A"/>
    <w:rsid w:val="002A17A0"/>
    <w:rsid w:val="002A1924"/>
    <w:rsid w:val="002A1C1F"/>
    <w:rsid w:val="002A4CD2"/>
    <w:rsid w:val="002A547B"/>
    <w:rsid w:val="002A668A"/>
    <w:rsid w:val="002A7420"/>
    <w:rsid w:val="002B07D9"/>
    <w:rsid w:val="002B0F12"/>
    <w:rsid w:val="002B1308"/>
    <w:rsid w:val="002B4554"/>
    <w:rsid w:val="002B4C28"/>
    <w:rsid w:val="002B58F1"/>
    <w:rsid w:val="002B5C61"/>
    <w:rsid w:val="002B6252"/>
    <w:rsid w:val="002C3BFB"/>
    <w:rsid w:val="002C4B7C"/>
    <w:rsid w:val="002C6130"/>
    <w:rsid w:val="002C72D8"/>
    <w:rsid w:val="002D11FA"/>
    <w:rsid w:val="002D26E4"/>
    <w:rsid w:val="002D2D03"/>
    <w:rsid w:val="002D2D9B"/>
    <w:rsid w:val="002D59BE"/>
    <w:rsid w:val="002D62C9"/>
    <w:rsid w:val="002E094C"/>
    <w:rsid w:val="002E0DDF"/>
    <w:rsid w:val="002E189F"/>
    <w:rsid w:val="002E2906"/>
    <w:rsid w:val="002E2A08"/>
    <w:rsid w:val="002E5635"/>
    <w:rsid w:val="002E6472"/>
    <w:rsid w:val="002E64C3"/>
    <w:rsid w:val="002E6A2C"/>
    <w:rsid w:val="002F1D8C"/>
    <w:rsid w:val="002F21DA"/>
    <w:rsid w:val="002F2634"/>
    <w:rsid w:val="002F62FE"/>
    <w:rsid w:val="002F6578"/>
    <w:rsid w:val="00301290"/>
    <w:rsid w:val="00301F39"/>
    <w:rsid w:val="00303907"/>
    <w:rsid w:val="00311665"/>
    <w:rsid w:val="00313230"/>
    <w:rsid w:val="00316052"/>
    <w:rsid w:val="00320B66"/>
    <w:rsid w:val="0032488D"/>
    <w:rsid w:val="00325565"/>
    <w:rsid w:val="0032583B"/>
    <w:rsid w:val="00325926"/>
    <w:rsid w:val="003263AC"/>
    <w:rsid w:val="00326887"/>
    <w:rsid w:val="00327A8A"/>
    <w:rsid w:val="00334BCC"/>
    <w:rsid w:val="003352F8"/>
    <w:rsid w:val="00336610"/>
    <w:rsid w:val="003410EF"/>
    <w:rsid w:val="0034193A"/>
    <w:rsid w:val="00343F73"/>
    <w:rsid w:val="00345060"/>
    <w:rsid w:val="00346149"/>
    <w:rsid w:val="003464E0"/>
    <w:rsid w:val="003501EA"/>
    <w:rsid w:val="00352412"/>
    <w:rsid w:val="0035323B"/>
    <w:rsid w:val="003609D2"/>
    <w:rsid w:val="00363F22"/>
    <w:rsid w:val="00363FD3"/>
    <w:rsid w:val="00364F7E"/>
    <w:rsid w:val="0037112B"/>
    <w:rsid w:val="00373A97"/>
    <w:rsid w:val="00375564"/>
    <w:rsid w:val="00377BE0"/>
    <w:rsid w:val="003808BB"/>
    <w:rsid w:val="00382469"/>
    <w:rsid w:val="00383191"/>
    <w:rsid w:val="003831BA"/>
    <w:rsid w:val="00386DED"/>
    <w:rsid w:val="003906E0"/>
    <w:rsid w:val="003912E7"/>
    <w:rsid w:val="00393947"/>
    <w:rsid w:val="00396906"/>
    <w:rsid w:val="00397EDD"/>
    <w:rsid w:val="00397F6D"/>
    <w:rsid w:val="003A04BE"/>
    <w:rsid w:val="003A2275"/>
    <w:rsid w:val="003A29BC"/>
    <w:rsid w:val="003A2DE7"/>
    <w:rsid w:val="003A4F8D"/>
    <w:rsid w:val="003A525C"/>
    <w:rsid w:val="003A6A4F"/>
    <w:rsid w:val="003A7088"/>
    <w:rsid w:val="003B00DF"/>
    <w:rsid w:val="003B1275"/>
    <w:rsid w:val="003B1778"/>
    <w:rsid w:val="003B1C87"/>
    <w:rsid w:val="003B25D8"/>
    <w:rsid w:val="003B2B9A"/>
    <w:rsid w:val="003C0B76"/>
    <w:rsid w:val="003C11CB"/>
    <w:rsid w:val="003C3221"/>
    <w:rsid w:val="003C5E2D"/>
    <w:rsid w:val="003C75F3"/>
    <w:rsid w:val="003C78A3"/>
    <w:rsid w:val="003D654E"/>
    <w:rsid w:val="003D6CB2"/>
    <w:rsid w:val="003D721D"/>
    <w:rsid w:val="003E1867"/>
    <w:rsid w:val="003E2F2D"/>
    <w:rsid w:val="003E3C1D"/>
    <w:rsid w:val="003E48A7"/>
    <w:rsid w:val="003E498B"/>
    <w:rsid w:val="003E5729"/>
    <w:rsid w:val="003E592E"/>
    <w:rsid w:val="003E6531"/>
    <w:rsid w:val="003F09EC"/>
    <w:rsid w:val="003F48E3"/>
    <w:rsid w:val="003F4EE0"/>
    <w:rsid w:val="003F6470"/>
    <w:rsid w:val="003F6A5F"/>
    <w:rsid w:val="00402153"/>
    <w:rsid w:val="00402FC1"/>
    <w:rsid w:val="00405B6C"/>
    <w:rsid w:val="00405BF8"/>
    <w:rsid w:val="0042008A"/>
    <w:rsid w:val="00421491"/>
    <w:rsid w:val="00425082"/>
    <w:rsid w:val="00425F1F"/>
    <w:rsid w:val="00431DEB"/>
    <w:rsid w:val="0043563D"/>
    <w:rsid w:val="00436D75"/>
    <w:rsid w:val="004418AD"/>
    <w:rsid w:val="00445279"/>
    <w:rsid w:val="00446B29"/>
    <w:rsid w:val="00453F9A"/>
    <w:rsid w:val="0046156C"/>
    <w:rsid w:val="004618B8"/>
    <w:rsid w:val="00463626"/>
    <w:rsid w:val="004648E6"/>
    <w:rsid w:val="00465D72"/>
    <w:rsid w:val="00467C1E"/>
    <w:rsid w:val="00470E1D"/>
    <w:rsid w:val="00471E91"/>
    <w:rsid w:val="00473193"/>
    <w:rsid w:val="00474675"/>
    <w:rsid w:val="0047470C"/>
    <w:rsid w:val="0047575C"/>
    <w:rsid w:val="00480243"/>
    <w:rsid w:val="00481454"/>
    <w:rsid w:val="00484FE6"/>
    <w:rsid w:val="00486AB1"/>
    <w:rsid w:val="00496BDC"/>
    <w:rsid w:val="004974FF"/>
    <w:rsid w:val="00497527"/>
    <w:rsid w:val="004A1EC3"/>
    <w:rsid w:val="004A2C05"/>
    <w:rsid w:val="004A35F9"/>
    <w:rsid w:val="004B24C1"/>
    <w:rsid w:val="004B4417"/>
    <w:rsid w:val="004B4773"/>
    <w:rsid w:val="004B7355"/>
    <w:rsid w:val="004B73A9"/>
    <w:rsid w:val="004C292F"/>
    <w:rsid w:val="004C3957"/>
    <w:rsid w:val="004C3A80"/>
    <w:rsid w:val="004D38AF"/>
    <w:rsid w:val="004D4FA6"/>
    <w:rsid w:val="004D550D"/>
    <w:rsid w:val="004D5BF1"/>
    <w:rsid w:val="004D76C0"/>
    <w:rsid w:val="004D788D"/>
    <w:rsid w:val="004E7375"/>
    <w:rsid w:val="004F443A"/>
    <w:rsid w:val="004F6A62"/>
    <w:rsid w:val="00500371"/>
    <w:rsid w:val="005018BF"/>
    <w:rsid w:val="0050456B"/>
    <w:rsid w:val="00505366"/>
    <w:rsid w:val="00510280"/>
    <w:rsid w:val="005115BE"/>
    <w:rsid w:val="0051360F"/>
    <w:rsid w:val="00513757"/>
    <w:rsid w:val="00513D73"/>
    <w:rsid w:val="00514488"/>
    <w:rsid w:val="00514499"/>
    <w:rsid w:val="00514A43"/>
    <w:rsid w:val="00517246"/>
    <w:rsid w:val="005174E5"/>
    <w:rsid w:val="00517CBB"/>
    <w:rsid w:val="00522393"/>
    <w:rsid w:val="00522620"/>
    <w:rsid w:val="00522957"/>
    <w:rsid w:val="00525656"/>
    <w:rsid w:val="00534458"/>
    <w:rsid w:val="005345B8"/>
    <w:rsid w:val="00534C02"/>
    <w:rsid w:val="00536A49"/>
    <w:rsid w:val="00540BC4"/>
    <w:rsid w:val="0054264B"/>
    <w:rsid w:val="00543708"/>
    <w:rsid w:val="00543786"/>
    <w:rsid w:val="00544B5A"/>
    <w:rsid w:val="00551923"/>
    <w:rsid w:val="005533D7"/>
    <w:rsid w:val="00555205"/>
    <w:rsid w:val="00560F94"/>
    <w:rsid w:val="00562B8C"/>
    <w:rsid w:val="005640BD"/>
    <w:rsid w:val="0056487B"/>
    <w:rsid w:val="00564D9C"/>
    <w:rsid w:val="005703DE"/>
    <w:rsid w:val="00577688"/>
    <w:rsid w:val="00577FE8"/>
    <w:rsid w:val="0058464E"/>
    <w:rsid w:val="00587B5C"/>
    <w:rsid w:val="005916BE"/>
    <w:rsid w:val="00593376"/>
    <w:rsid w:val="005941C6"/>
    <w:rsid w:val="00595585"/>
    <w:rsid w:val="00597849"/>
    <w:rsid w:val="00597C71"/>
    <w:rsid w:val="005A0142"/>
    <w:rsid w:val="005A01CB"/>
    <w:rsid w:val="005A3260"/>
    <w:rsid w:val="005A4293"/>
    <w:rsid w:val="005A58FF"/>
    <w:rsid w:val="005A5B97"/>
    <w:rsid w:val="005A5EAF"/>
    <w:rsid w:val="005A64C0"/>
    <w:rsid w:val="005B25ED"/>
    <w:rsid w:val="005B3C11"/>
    <w:rsid w:val="005B5EAB"/>
    <w:rsid w:val="005B620A"/>
    <w:rsid w:val="005C18F6"/>
    <w:rsid w:val="005C1C28"/>
    <w:rsid w:val="005C6DB5"/>
    <w:rsid w:val="005D24E6"/>
    <w:rsid w:val="005D5975"/>
    <w:rsid w:val="005D64F3"/>
    <w:rsid w:val="005E19E7"/>
    <w:rsid w:val="005E2A84"/>
    <w:rsid w:val="005E4818"/>
    <w:rsid w:val="005E5337"/>
    <w:rsid w:val="005E6660"/>
    <w:rsid w:val="005F1CA1"/>
    <w:rsid w:val="005F5360"/>
    <w:rsid w:val="005F612B"/>
    <w:rsid w:val="00602A99"/>
    <w:rsid w:val="00611526"/>
    <w:rsid w:val="00614503"/>
    <w:rsid w:val="0061716C"/>
    <w:rsid w:val="00622557"/>
    <w:rsid w:val="006243A1"/>
    <w:rsid w:val="0063216E"/>
    <w:rsid w:val="00632E56"/>
    <w:rsid w:val="00635CBA"/>
    <w:rsid w:val="00636313"/>
    <w:rsid w:val="0063640C"/>
    <w:rsid w:val="0063646E"/>
    <w:rsid w:val="006420BE"/>
    <w:rsid w:val="0064338B"/>
    <w:rsid w:val="00646542"/>
    <w:rsid w:val="006504F4"/>
    <w:rsid w:val="0065130F"/>
    <w:rsid w:val="006527EA"/>
    <w:rsid w:val="00654BC9"/>
    <w:rsid w:val="006552FD"/>
    <w:rsid w:val="00656632"/>
    <w:rsid w:val="006567D0"/>
    <w:rsid w:val="00663AF3"/>
    <w:rsid w:val="00664304"/>
    <w:rsid w:val="00666527"/>
    <w:rsid w:val="00666B6C"/>
    <w:rsid w:val="006678F6"/>
    <w:rsid w:val="00675142"/>
    <w:rsid w:val="00677B92"/>
    <w:rsid w:val="00677EED"/>
    <w:rsid w:val="006804AD"/>
    <w:rsid w:val="006807C9"/>
    <w:rsid w:val="00680B2A"/>
    <w:rsid w:val="00682682"/>
    <w:rsid w:val="00682702"/>
    <w:rsid w:val="00683925"/>
    <w:rsid w:val="00685B2C"/>
    <w:rsid w:val="00687F25"/>
    <w:rsid w:val="00690D36"/>
    <w:rsid w:val="006918FD"/>
    <w:rsid w:val="00692368"/>
    <w:rsid w:val="00693276"/>
    <w:rsid w:val="00694796"/>
    <w:rsid w:val="00695D3C"/>
    <w:rsid w:val="006A2EBC"/>
    <w:rsid w:val="006A3465"/>
    <w:rsid w:val="006A3F17"/>
    <w:rsid w:val="006A5EA0"/>
    <w:rsid w:val="006A783B"/>
    <w:rsid w:val="006A7B33"/>
    <w:rsid w:val="006B3982"/>
    <w:rsid w:val="006B49D2"/>
    <w:rsid w:val="006B4E13"/>
    <w:rsid w:val="006B5608"/>
    <w:rsid w:val="006B75DD"/>
    <w:rsid w:val="006C0209"/>
    <w:rsid w:val="006C2EAB"/>
    <w:rsid w:val="006C67E0"/>
    <w:rsid w:val="006C7ABA"/>
    <w:rsid w:val="006D0348"/>
    <w:rsid w:val="006D0682"/>
    <w:rsid w:val="006D0D60"/>
    <w:rsid w:val="006D1122"/>
    <w:rsid w:val="006D2310"/>
    <w:rsid w:val="006D3C00"/>
    <w:rsid w:val="006D4A87"/>
    <w:rsid w:val="006D4DA4"/>
    <w:rsid w:val="006D7474"/>
    <w:rsid w:val="006E065E"/>
    <w:rsid w:val="006E3675"/>
    <w:rsid w:val="006E438B"/>
    <w:rsid w:val="006E4A7F"/>
    <w:rsid w:val="006E6A7A"/>
    <w:rsid w:val="006E6C08"/>
    <w:rsid w:val="006E7F7A"/>
    <w:rsid w:val="006F00F3"/>
    <w:rsid w:val="006F0265"/>
    <w:rsid w:val="006F0751"/>
    <w:rsid w:val="006F303A"/>
    <w:rsid w:val="006F34C6"/>
    <w:rsid w:val="006F5378"/>
    <w:rsid w:val="006F6627"/>
    <w:rsid w:val="006F7270"/>
    <w:rsid w:val="00700F90"/>
    <w:rsid w:val="00704DF6"/>
    <w:rsid w:val="00704E23"/>
    <w:rsid w:val="0070651C"/>
    <w:rsid w:val="0070696A"/>
    <w:rsid w:val="00711A07"/>
    <w:rsid w:val="00711BE6"/>
    <w:rsid w:val="00712E83"/>
    <w:rsid w:val="007132A3"/>
    <w:rsid w:val="00714089"/>
    <w:rsid w:val="007152AF"/>
    <w:rsid w:val="00716421"/>
    <w:rsid w:val="00722D42"/>
    <w:rsid w:val="00724DB3"/>
    <w:rsid w:val="00724EFB"/>
    <w:rsid w:val="00727F48"/>
    <w:rsid w:val="00732C91"/>
    <w:rsid w:val="00735DD7"/>
    <w:rsid w:val="00741719"/>
    <w:rsid w:val="007419C3"/>
    <w:rsid w:val="00743EB9"/>
    <w:rsid w:val="007467A7"/>
    <w:rsid w:val="007469DD"/>
    <w:rsid w:val="007473CD"/>
    <w:rsid w:val="0074741B"/>
    <w:rsid w:val="0074743B"/>
    <w:rsid w:val="0074759E"/>
    <w:rsid w:val="007478EA"/>
    <w:rsid w:val="007515FB"/>
    <w:rsid w:val="00751F07"/>
    <w:rsid w:val="0075415C"/>
    <w:rsid w:val="00760599"/>
    <w:rsid w:val="00760811"/>
    <w:rsid w:val="00761253"/>
    <w:rsid w:val="00762E78"/>
    <w:rsid w:val="00763502"/>
    <w:rsid w:val="00764861"/>
    <w:rsid w:val="0076496B"/>
    <w:rsid w:val="00765F34"/>
    <w:rsid w:val="00772230"/>
    <w:rsid w:val="007738FC"/>
    <w:rsid w:val="00773FE0"/>
    <w:rsid w:val="00781B69"/>
    <w:rsid w:val="0078323D"/>
    <w:rsid w:val="007852B6"/>
    <w:rsid w:val="00785828"/>
    <w:rsid w:val="007873C2"/>
    <w:rsid w:val="007913AB"/>
    <w:rsid w:val="007914F7"/>
    <w:rsid w:val="00793546"/>
    <w:rsid w:val="007939EF"/>
    <w:rsid w:val="00793B4A"/>
    <w:rsid w:val="007A09D9"/>
    <w:rsid w:val="007A2F50"/>
    <w:rsid w:val="007A589E"/>
    <w:rsid w:val="007A717F"/>
    <w:rsid w:val="007B1625"/>
    <w:rsid w:val="007B2188"/>
    <w:rsid w:val="007B2E07"/>
    <w:rsid w:val="007B306D"/>
    <w:rsid w:val="007B3AA1"/>
    <w:rsid w:val="007B45CD"/>
    <w:rsid w:val="007B5337"/>
    <w:rsid w:val="007B5427"/>
    <w:rsid w:val="007B6E5E"/>
    <w:rsid w:val="007B706E"/>
    <w:rsid w:val="007B71EB"/>
    <w:rsid w:val="007B720E"/>
    <w:rsid w:val="007C0D60"/>
    <w:rsid w:val="007C6205"/>
    <w:rsid w:val="007C686A"/>
    <w:rsid w:val="007C728E"/>
    <w:rsid w:val="007D0928"/>
    <w:rsid w:val="007D2C53"/>
    <w:rsid w:val="007D3D60"/>
    <w:rsid w:val="007D5BA9"/>
    <w:rsid w:val="007D72F4"/>
    <w:rsid w:val="007D747C"/>
    <w:rsid w:val="007E1980"/>
    <w:rsid w:val="007E4B76"/>
    <w:rsid w:val="007E5EA8"/>
    <w:rsid w:val="007F0CF1"/>
    <w:rsid w:val="007F12A5"/>
    <w:rsid w:val="007F328F"/>
    <w:rsid w:val="007F3A42"/>
    <w:rsid w:val="007F4CF1"/>
    <w:rsid w:val="007F5777"/>
    <w:rsid w:val="007F6C9F"/>
    <w:rsid w:val="007F758D"/>
    <w:rsid w:val="007F7D52"/>
    <w:rsid w:val="007F7FB7"/>
    <w:rsid w:val="008062B4"/>
    <w:rsid w:val="0080654C"/>
    <w:rsid w:val="008071C6"/>
    <w:rsid w:val="00812347"/>
    <w:rsid w:val="0081566B"/>
    <w:rsid w:val="008179B3"/>
    <w:rsid w:val="00817A00"/>
    <w:rsid w:val="00821D7A"/>
    <w:rsid w:val="00824B13"/>
    <w:rsid w:val="00833F15"/>
    <w:rsid w:val="00834B47"/>
    <w:rsid w:val="008353B4"/>
    <w:rsid w:val="00835DB3"/>
    <w:rsid w:val="0083617B"/>
    <w:rsid w:val="008371BD"/>
    <w:rsid w:val="00840D94"/>
    <w:rsid w:val="00844451"/>
    <w:rsid w:val="008500AF"/>
    <w:rsid w:val="008504A8"/>
    <w:rsid w:val="00852368"/>
    <w:rsid w:val="0085282E"/>
    <w:rsid w:val="008534D7"/>
    <w:rsid w:val="00853998"/>
    <w:rsid w:val="0085644D"/>
    <w:rsid w:val="0085673E"/>
    <w:rsid w:val="008577B8"/>
    <w:rsid w:val="00860A82"/>
    <w:rsid w:val="0086703A"/>
    <w:rsid w:val="0087198C"/>
    <w:rsid w:val="00872C1F"/>
    <w:rsid w:val="0087308E"/>
    <w:rsid w:val="00873B42"/>
    <w:rsid w:val="00874CB7"/>
    <w:rsid w:val="0087739E"/>
    <w:rsid w:val="00877DA9"/>
    <w:rsid w:val="00884341"/>
    <w:rsid w:val="008852D1"/>
    <w:rsid w:val="008856D8"/>
    <w:rsid w:val="00886AAA"/>
    <w:rsid w:val="008918B2"/>
    <w:rsid w:val="008929ED"/>
    <w:rsid w:val="00892E82"/>
    <w:rsid w:val="00893B00"/>
    <w:rsid w:val="00893BF9"/>
    <w:rsid w:val="0089585D"/>
    <w:rsid w:val="008963BB"/>
    <w:rsid w:val="008B0936"/>
    <w:rsid w:val="008B166A"/>
    <w:rsid w:val="008B1DBF"/>
    <w:rsid w:val="008B2982"/>
    <w:rsid w:val="008B3B4F"/>
    <w:rsid w:val="008B60EB"/>
    <w:rsid w:val="008B6C26"/>
    <w:rsid w:val="008C05D2"/>
    <w:rsid w:val="008C0872"/>
    <w:rsid w:val="008C13EC"/>
    <w:rsid w:val="008C1B58"/>
    <w:rsid w:val="008C2992"/>
    <w:rsid w:val="008C39AE"/>
    <w:rsid w:val="008C590D"/>
    <w:rsid w:val="008C648D"/>
    <w:rsid w:val="008C7D4A"/>
    <w:rsid w:val="008D2EF3"/>
    <w:rsid w:val="008D7E16"/>
    <w:rsid w:val="008E031B"/>
    <w:rsid w:val="008E298A"/>
    <w:rsid w:val="008E3304"/>
    <w:rsid w:val="008E7029"/>
    <w:rsid w:val="008E7EF6"/>
    <w:rsid w:val="008F1F98"/>
    <w:rsid w:val="008F24E0"/>
    <w:rsid w:val="008F2A9B"/>
    <w:rsid w:val="008F5955"/>
    <w:rsid w:val="008F59D1"/>
    <w:rsid w:val="008F6758"/>
    <w:rsid w:val="008F75EE"/>
    <w:rsid w:val="009003FA"/>
    <w:rsid w:val="0090057A"/>
    <w:rsid w:val="00900918"/>
    <w:rsid w:val="0090179F"/>
    <w:rsid w:val="00901BF9"/>
    <w:rsid w:val="00902DF8"/>
    <w:rsid w:val="00903404"/>
    <w:rsid w:val="00903BCF"/>
    <w:rsid w:val="009040DD"/>
    <w:rsid w:val="00905B47"/>
    <w:rsid w:val="0091133F"/>
    <w:rsid w:val="0091331C"/>
    <w:rsid w:val="009147F6"/>
    <w:rsid w:val="00914DB5"/>
    <w:rsid w:val="00920E53"/>
    <w:rsid w:val="009254A0"/>
    <w:rsid w:val="0092583F"/>
    <w:rsid w:val="009279DE"/>
    <w:rsid w:val="00930116"/>
    <w:rsid w:val="00930C0F"/>
    <w:rsid w:val="00933125"/>
    <w:rsid w:val="00935168"/>
    <w:rsid w:val="00935ADD"/>
    <w:rsid w:val="00936F85"/>
    <w:rsid w:val="00937B94"/>
    <w:rsid w:val="0094212C"/>
    <w:rsid w:val="00946572"/>
    <w:rsid w:val="00952D95"/>
    <w:rsid w:val="0095354A"/>
    <w:rsid w:val="00954689"/>
    <w:rsid w:val="0095536A"/>
    <w:rsid w:val="00955FA4"/>
    <w:rsid w:val="00956773"/>
    <w:rsid w:val="009617C9"/>
    <w:rsid w:val="00961C93"/>
    <w:rsid w:val="00962035"/>
    <w:rsid w:val="00962C8C"/>
    <w:rsid w:val="0096317E"/>
    <w:rsid w:val="00963E5F"/>
    <w:rsid w:val="009647DA"/>
    <w:rsid w:val="00965324"/>
    <w:rsid w:val="009664D5"/>
    <w:rsid w:val="0097091E"/>
    <w:rsid w:val="009760D3"/>
    <w:rsid w:val="009766EE"/>
    <w:rsid w:val="00976BD5"/>
    <w:rsid w:val="00976F61"/>
    <w:rsid w:val="00977132"/>
    <w:rsid w:val="00981A4B"/>
    <w:rsid w:val="00982501"/>
    <w:rsid w:val="00983E64"/>
    <w:rsid w:val="00986AFF"/>
    <w:rsid w:val="009877D3"/>
    <w:rsid w:val="009900BB"/>
    <w:rsid w:val="0099204C"/>
    <w:rsid w:val="00994486"/>
    <w:rsid w:val="00994E8F"/>
    <w:rsid w:val="009951DC"/>
    <w:rsid w:val="009959BB"/>
    <w:rsid w:val="00995A65"/>
    <w:rsid w:val="00997158"/>
    <w:rsid w:val="009A3A7C"/>
    <w:rsid w:val="009A4FCF"/>
    <w:rsid w:val="009A6C7D"/>
    <w:rsid w:val="009B0E2E"/>
    <w:rsid w:val="009B2ADB"/>
    <w:rsid w:val="009B33C3"/>
    <w:rsid w:val="009B466C"/>
    <w:rsid w:val="009B603A"/>
    <w:rsid w:val="009C2099"/>
    <w:rsid w:val="009C2D0E"/>
    <w:rsid w:val="009C3DAC"/>
    <w:rsid w:val="009C42E0"/>
    <w:rsid w:val="009C6ECD"/>
    <w:rsid w:val="009D0333"/>
    <w:rsid w:val="009D5362"/>
    <w:rsid w:val="009D7AA3"/>
    <w:rsid w:val="009E1415"/>
    <w:rsid w:val="009E2289"/>
    <w:rsid w:val="009E5E2A"/>
    <w:rsid w:val="009E6116"/>
    <w:rsid w:val="009E6B02"/>
    <w:rsid w:val="009F034A"/>
    <w:rsid w:val="009F4386"/>
    <w:rsid w:val="009F53BD"/>
    <w:rsid w:val="00A00209"/>
    <w:rsid w:val="00A0197F"/>
    <w:rsid w:val="00A01F60"/>
    <w:rsid w:val="00A02E43"/>
    <w:rsid w:val="00A065F9"/>
    <w:rsid w:val="00A07F34"/>
    <w:rsid w:val="00A10635"/>
    <w:rsid w:val="00A10F6C"/>
    <w:rsid w:val="00A1496C"/>
    <w:rsid w:val="00A22154"/>
    <w:rsid w:val="00A227A2"/>
    <w:rsid w:val="00A25C38"/>
    <w:rsid w:val="00A27B81"/>
    <w:rsid w:val="00A31FD9"/>
    <w:rsid w:val="00A32C49"/>
    <w:rsid w:val="00A359FD"/>
    <w:rsid w:val="00A36BBE"/>
    <w:rsid w:val="00A36F8C"/>
    <w:rsid w:val="00A37E8A"/>
    <w:rsid w:val="00A413D8"/>
    <w:rsid w:val="00A4307A"/>
    <w:rsid w:val="00A437B8"/>
    <w:rsid w:val="00A45EA4"/>
    <w:rsid w:val="00A4733D"/>
    <w:rsid w:val="00A47EBB"/>
    <w:rsid w:val="00A50AF1"/>
    <w:rsid w:val="00A51CDD"/>
    <w:rsid w:val="00A51F26"/>
    <w:rsid w:val="00A548F7"/>
    <w:rsid w:val="00A54ED3"/>
    <w:rsid w:val="00A57517"/>
    <w:rsid w:val="00A6730D"/>
    <w:rsid w:val="00A67C00"/>
    <w:rsid w:val="00A71608"/>
    <w:rsid w:val="00A71625"/>
    <w:rsid w:val="00A71B9B"/>
    <w:rsid w:val="00A72B32"/>
    <w:rsid w:val="00A740EE"/>
    <w:rsid w:val="00A751C7"/>
    <w:rsid w:val="00A77B90"/>
    <w:rsid w:val="00A82A62"/>
    <w:rsid w:val="00A84E69"/>
    <w:rsid w:val="00A860B9"/>
    <w:rsid w:val="00A87844"/>
    <w:rsid w:val="00A90B86"/>
    <w:rsid w:val="00A912FC"/>
    <w:rsid w:val="00A92E65"/>
    <w:rsid w:val="00A93FB7"/>
    <w:rsid w:val="00A95F5C"/>
    <w:rsid w:val="00AA038C"/>
    <w:rsid w:val="00AA1FAC"/>
    <w:rsid w:val="00AA2B97"/>
    <w:rsid w:val="00AA6697"/>
    <w:rsid w:val="00AA7181"/>
    <w:rsid w:val="00AA7A09"/>
    <w:rsid w:val="00AB09B9"/>
    <w:rsid w:val="00AB0D00"/>
    <w:rsid w:val="00AB11B3"/>
    <w:rsid w:val="00AB3B50"/>
    <w:rsid w:val="00AB5291"/>
    <w:rsid w:val="00AB6076"/>
    <w:rsid w:val="00AC05B1"/>
    <w:rsid w:val="00AC07E4"/>
    <w:rsid w:val="00AC382E"/>
    <w:rsid w:val="00AC4078"/>
    <w:rsid w:val="00AC5C57"/>
    <w:rsid w:val="00AD1B82"/>
    <w:rsid w:val="00AD356C"/>
    <w:rsid w:val="00AD5731"/>
    <w:rsid w:val="00AD76C8"/>
    <w:rsid w:val="00AE1238"/>
    <w:rsid w:val="00AE2914"/>
    <w:rsid w:val="00AE585D"/>
    <w:rsid w:val="00AE6C1A"/>
    <w:rsid w:val="00AE6D15"/>
    <w:rsid w:val="00AF2171"/>
    <w:rsid w:val="00AF6F0B"/>
    <w:rsid w:val="00AF70E0"/>
    <w:rsid w:val="00B00B83"/>
    <w:rsid w:val="00B03947"/>
    <w:rsid w:val="00B04182"/>
    <w:rsid w:val="00B06E30"/>
    <w:rsid w:val="00B07AE3"/>
    <w:rsid w:val="00B11430"/>
    <w:rsid w:val="00B11D56"/>
    <w:rsid w:val="00B1469D"/>
    <w:rsid w:val="00B1795F"/>
    <w:rsid w:val="00B17D58"/>
    <w:rsid w:val="00B21A51"/>
    <w:rsid w:val="00B220C5"/>
    <w:rsid w:val="00B2424C"/>
    <w:rsid w:val="00B24B9F"/>
    <w:rsid w:val="00B33123"/>
    <w:rsid w:val="00B34045"/>
    <w:rsid w:val="00B353EB"/>
    <w:rsid w:val="00B37CDB"/>
    <w:rsid w:val="00B40AAF"/>
    <w:rsid w:val="00B4302B"/>
    <w:rsid w:val="00B439C4"/>
    <w:rsid w:val="00B4535E"/>
    <w:rsid w:val="00B501D7"/>
    <w:rsid w:val="00B52A8C"/>
    <w:rsid w:val="00B53E39"/>
    <w:rsid w:val="00B550C1"/>
    <w:rsid w:val="00B55C14"/>
    <w:rsid w:val="00B56A1B"/>
    <w:rsid w:val="00B60179"/>
    <w:rsid w:val="00B636A8"/>
    <w:rsid w:val="00B64561"/>
    <w:rsid w:val="00B665C6"/>
    <w:rsid w:val="00B66928"/>
    <w:rsid w:val="00B707D8"/>
    <w:rsid w:val="00B76AFC"/>
    <w:rsid w:val="00B779E1"/>
    <w:rsid w:val="00B805AF"/>
    <w:rsid w:val="00B8071C"/>
    <w:rsid w:val="00B84FAF"/>
    <w:rsid w:val="00B869EC"/>
    <w:rsid w:val="00B925AB"/>
    <w:rsid w:val="00B9397A"/>
    <w:rsid w:val="00B9633D"/>
    <w:rsid w:val="00B97EFA"/>
    <w:rsid w:val="00BA12FB"/>
    <w:rsid w:val="00BA2EBE"/>
    <w:rsid w:val="00BA4154"/>
    <w:rsid w:val="00BA6426"/>
    <w:rsid w:val="00BB08DC"/>
    <w:rsid w:val="00BB0F28"/>
    <w:rsid w:val="00BB19F3"/>
    <w:rsid w:val="00BB3A8F"/>
    <w:rsid w:val="00BB458A"/>
    <w:rsid w:val="00BB4680"/>
    <w:rsid w:val="00BB7B61"/>
    <w:rsid w:val="00BC0A39"/>
    <w:rsid w:val="00BC17B4"/>
    <w:rsid w:val="00BC5931"/>
    <w:rsid w:val="00BC63F6"/>
    <w:rsid w:val="00BD00D3"/>
    <w:rsid w:val="00BD1659"/>
    <w:rsid w:val="00BD2BC3"/>
    <w:rsid w:val="00BD3AA9"/>
    <w:rsid w:val="00BD422F"/>
    <w:rsid w:val="00BD4A18"/>
    <w:rsid w:val="00BD6DB2"/>
    <w:rsid w:val="00BE11CF"/>
    <w:rsid w:val="00BE21AB"/>
    <w:rsid w:val="00BE55CB"/>
    <w:rsid w:val="00BE7D35"/>
    <w:rsid w:val="00BF0FCF"/>
    <w:rsid w:val="00BF1207"/>
    <w:rsid w:val="00BF1E9F"/>
    <w:rsid w:val="00BF617A"/>
    <w:rsid w:val="00BF69E6"/>
    <w:rsid w:val="00BF6A48"/>
    <w:rsid w:val="00C022BF"/>
    <w:rsid w:val="00C030EB"/>
    <w:rsid w:val="00C0379D"/>
    <w:rsid w:val="00C03931"/>
    <w:rsid w:val="00C055F8"/>
    <w:rsid w:val="00C0576F"/>
    <w:rsid w:val="00C05FE3"/>
    <w:rsid w:val="00C06876"/>
    <w:rsid w:val="00C1168B"/>
    <w:rsid w:val="00C14B55"/>
    <w:rsid w:val="00C17A8E"/>
    <w:rsid w:val="00C2136D"/>
    <w:rsid w:val="00C214EE"/>
    <w:rsid w:val="00C2314B"/>
    <w:rsid w:val="00C24971"/>
    <w:rsid w:val="00C26BE5"/>
    <w:rsid w:val="00C26E4D"/>
    <w:rsid w:val="00C27192"/>
    <w:rsid w:val="00C27909"/>
    <w:rsid w:val="00C27B03"/>
    <w:rsid w:val="00C314E1"/>
    <w:rsid w:val="00C322B3"/>
    <w:rsid w:val="00C3305A"/>
    <w:rsid w:val="00C34397"/>
    <w:rsid w:val="00C3787D"/>
    <w:rsid w:val="00C403A9"/>
    <w:rsid w:val="00C4095D"/>
    <w:rsid w:val="00C44BCA"/>
    <w:rsid w:val="00C45D26"/>
    <w:rsid w:val="00C46AA1"/>
    <w:rsid w:val="00C5350E"/>
    <w:rsid w:val="00C5470D"/>
    <w:rsid w:val="00C57752"/>
    <w:rsid w:val="00C57B42"/>
    <w:rsid w:val="00C601D2"/>
    <w:rsid w:val="00C61588"/>
    <w:rsid w:val="00C632F1"/>
    <w:rsid w:val="00C644A6"/>
    <w:rsid w:val="00C65BCC"/>
    <w:rsid w:val="00C66970"/>
    <w:rsid w:val="00C67690"/>
    <w:rsid w:val="00C71BE2"/>
    <w:rsid w:val="00C807A9"/>
    <w:rsid w:val="00C80DA5"/>
    <w:rsid w:val="00C81123"/>
    <w:rsid w:val="00C81257"/>
    <w:rsid w:val="00C817A5"/>
    <w:rsid w:val="00C853CB"/>
    <w:rsid w:val="00C8691C"/>
    <w:rsid w:val="00C92B93"/>
    <w:rsid w:val="00C96CE2"/>
    <w:rsid w:val="00CA168A"/>
    <w:rsid w:val="00CA357E"/>
    <w:rsid w:val="00CA44F9"/>
    <w:rsid w:val="00CA4A69"/>
    <w:rsid w:val="00CB276E"/>
    <w:rsid w:val="00CB7D40"/>
    <w:rsid w:val="00CC3AF3"/>
    <w:rsid w:val="00CC3E0C"/>
    <w:rsid w:val="00CC40BF"/>
    <w:rsid w:val="00CC58D3"/>
    <w:rsid w:val="00CC68E8"/>
    <w:rsid w:val="00CC784D"/>
    <w:rsid w:val="00CD00E0"/>
    <w:rsid w:val="00CD06A7"/>
    <w:rsid w:val="00CD074F"/>
    <w:rsid w:val="00CD0BAB"/>
    <w:rsid w:val="00CD36B5"/>
    <w:rsid w:val="00CD7162"/>
    <w:rsid w:val="00CD79DA"/>
    <w:rsid w:val="00CD7DFC"/>
    <w:rsid w:val="00CE3AFC"/>
    <w:rsid w:val="00CF0398"/>
    <w:rsid w:val="00CF3C8D"/>
    <w:rsid w:val="00CF4B67"/>
    <w:rsid w:val="00CF50B5"/>
    <w:rsid w:val="00D03273"/>
    <w:rsid w:val="00D0337B"/>
    <w:rsid w:val="00D039EE"/>
    <w:rsid w:val="00D0440E"/>
    <w:rsid w:val="00D04ABC"/>
    <w:rsid w:val="00D079B2"/>
    <w:rsid w:val="00D114E9"/>
    <w:rsid w:val="00D14D95"/>
    <w:rsid w:val="00D23BF1"/>
    <w:rsid w:val="00D261D1"/>
    <w:rsid w:val="00D276A5"/>
    <w:rsid w:val="00D305B8"/>
    <w:rsid w:val="00D31404"/>
    <w:rsid w:val="00D37471"/>
    <w:rsid w:val="00D412E9"/>
    <w:rsid w:val="00D429C6"/>
    <w:rsid w:val="00D43CDC"/>
    <w:rsid w:val="00D44C56"/>
    <w:rsid w:val="00D47748"/>
    <w:rsid w:val="00D47A6D"/>
    <w:rsid w:val="00D5245A"/>
    <w:rsid w:val="00D5257A"/>
    <w:rsid w:val="00D53F53"/>
    <w:rsid w:val="00D54536"/>
    <w:rsid w:val="00D54CC3"/>
    <w:rsid w:val="00D55CAC"/>
    <w:rsid w:val="00D6041A"/>
    <w:rsid w:val="00D61715"/>
    <w:rsid w:val="00D633EB"/>
    <w:rsid w:val="00D6415D"/>
    <w:rsid w:val="00D64924"/>
    <w:rsid w:val="00D7092C"/>
    <w:rsid w:val="00D74349"/>
    <w:rsid w:val="00D76D75"/>
    <w:rsid w:val="00D7777B"/>
    <w:rsid w:val="00D82FF7"/>
    <w:rsid w:val="00D832F6"/>
    <w:rsid w:val="00D847FE"/>
    <w:rsid w:val="00D85DA2"/>
    <w:rsid w:val="00D85F3C"/>
    <w:rsid w:val="00D8784A"/>
    <w:rsid w:val="00D90B3E"/>
    <w:rsid w:val="00D90D78"/>
    <w:rsid w:val="00D91E5F"/>
    <w:rsid w:val="00D93C3C"/>
    <w:rsid w:val="00D964EA"/>
    <w:rsid w:val="00D966D0"/>
    <w:rsid w:val="00D97034"/>
    <w:rsid w:val="00D97801"/>
    <w:rsid w:val="00DA0C59"/>
    <w:rsid w:val="00DA1336"/>
    <w:rsid w:val="00DA1C5C"/>
    <w:rsid w:val="00DA2373"/>
    <w:rsid w:val="00DA3991"/>
    <w:rsid w:val="00DA3FCA"/>
    <w:rsid w:val="00DA5A42"/>
    <w:rsid w:val="00DB348F"/>
    <w:rsid w:val="00DB5655"/>
    <w:rsid w:val="00DB5966"/>
    <w:rsid w:val="00DB5E7E"/>
    <w:rsid w:val="00DB7E6C"/>
    <w:rsid w:val="00DC08FE"/>
    <w:rsid w:val="00DC3304"/>
    <w:rsid w:val="00DC6FEE"/>
    <w:rsid w:val="00DD2C9E"/>
    <w:rsid w:val="00DD51AD"/>
    <w:rsid w:val="00DD5A29"/>
    <w:rsid w:val="00DD5D9D"/>
    <w:rsid w:val="00DE2FF1"/>
    <w:rsid w:val="00DE3152"/>
    <w:rsid w:val="00DE35CB"/>
    <w:rsid w:val="00DE3CE6"/>
    <w:rsid w:val="00DE3D92"/>
    <w:rsid w:val="00DE494E"/>
    <w:rsid w:val="00DE4C76"/>
    <w:rsid w:val="00DF13A0"/>
    <w:rsid w:val="00DF18F2"/>
    <w:rsid w:val="00DF21E9"/>
    <w:rsid w:val="00DF3657"/>
    <w:rsid w:val="00E00F14"/>
    <w:rsid w:val="00E01A44"/>
    <w:rsid w:val="00E028D7"/>
    <w:rsid w:val="00E0337E"/>
    <w:rsid w:val="00E04545"/>
    <w:rsid w:val="00E04F07"/>
    <w:rsid w:val="00E06386"/>
    <w:rsid w:val="00E11AF0"/>
    <w:rsid w:val="00E12549"/>
    <w:rsid w:val="00E1488D"/>
    <w:rsid w:val="00E16AC7"/>
    <w:rsid w:val="00E200FA"/>
    <w:rsid w:val="00E24EB4"/>
    <w:rsid w:val="00E26B5B"/>
    <w:rsid w:val="00E320ED"/>
    <w:rsid w:val="00E33AFB"/>
    <w:rsid w:val="00E34218"/>
    <w:rsid w:val="00E43651"/>
    <w:rsid w:val="00E43EA1"/>
    <w:rsid w:val="00E45958"/>
    <w:rsid w:val="00E46282"/>
    <w:rsid w:val="00E46676"/>
    <w:rsid w:val="00E46FC6"/>
    <w:rsid w:val="00E47E95"/>
    <w:rsid w:val="00E50FEF"/>
    <w:rsid w:val="00E5216E"/>
    <w:rsid w:val="00E521FD"/>
    <w:rsid w:val="00E534E3"/>
    <w:rsid w:val="00E53DF8"/>
    <w:rsid w:val="00E56344"/>
    <w:rsid w:val="00E56A8D"/>
    <w:rsid w:val="00E57077"/>
    <w:rsid w:val="00E60307"/>
    <w:rsid w:val="00E61968"/>
    <w:rsid w:val="00E62D0C"/>
    <w:rsid w:val="00E654B5"/>
    <w:rsid w:val="00E71433"/>
    <w:rsid w:val="00E7213C"/>
    <w:rsid w:val="00E76E52"/>
    <w:rsid w:val="00E82344"/>
    <w:rsid w:val="00E84C82"/>
    <w:rsid w:val="00E84D64"/>
    <w:rsid w:val="00E85FD3"/>
    <w:rsid w:val="00E85FE0"/>
    <w:rsid w:val="00E87408"/>
    <w:rsid w:val="00E87A67"/>
    <w:rsid w:val="00E87F42"/>
    <w:rsid w:val="00E9136D"/>
    <w:rsid w:val="00E914C4"/>
    <w:rsid w:val="00E934F5"/>
    <w:rsid w:val="00E93F27"/>
    <w:rsid w:val="00E96961"/>
    <w:rsid w:val="00E97099"/>
    <w:rsid w:val="00EA18FB"/>
    <w:rsid w:val="00EA49C9"/>
    <w:rsid w:val="00EA4D30"/>
    <w:rsid w:val="00EA51ED"/>
    <w:rsid w:val="00EA5F17"/>
    <w:rsid w:val="00EA6898"/>
    <w:rsid w:val="00EA6E69"/>
    <w:rsid w:val="00EA72EC"/>
    <w:rsid w:val="00EB078E"/>
    <w:rsid w:val="00EB11CB"/>
    <w:rsid w:val="00EB275A"/>
    <w:rsid w:val="00EB5711"/>
    <w:rsid w:val="00EB61AA"/>
    <w:rsid w:val="00EB6D34"/>
    <w:rsid w:val="00EB786A"/>
    <w:rsid w:val="00EC06D1"/>
    <w:rsid w:val="00EC0B86"/>
    <w:rsid w:val="00EC1411"/>
    <w:rsid w:val="00EC1578"/>
    <w:rsid w:val="00EC1C72"/>
    <w:rsid w:val="00EC247D"/>
    <w:rsid w:val="00EC3CC9"/>
    <w:rsid w:val="00EC680A"/>
    <w:rsid w:val="00ED01D6"/>
    <w:rsid w:val="00ED49DA"/>
    <w:rsid w:val="00ED69CE"/>
    <w:rsid w:val="00ED6E63"/>
    <w:rsid w:val="00EE11EA"/>
    <w:rsid w:val="00EE2BED"/>
    <w:rsid w:val="00EE374B"/>
    <w:rsid w:val="00EF0010"/>
    <w:rsid w:val="00EF4179"/>
    <w:rsid w:val="00F00C52"/>
    <w:rsid w:val="00F051DB"/>
    <w:rsid w:val="00F108DF"/>
    <w:rsid w:val="00F1102C"/>
    <w:rsid w:val="00F1154F"/>
    <w:rsid w:val="00F11BB5"/>
    <w:rsid w:val="00F14110"/>
    <w:rsid w:val="00F1417B"/>
    <w:rsid w:val="00F14A74"/>
    <w:rsid w:val="00F20465"/>
    <w:rsid w:val="00F21E2B"/>
    <w:rsid w:val="00F22D45"/>
    <w:rsid w:val="00F267D5"/>
    <w:rsid w:val="00F3069D"/>
    <w:rsid w:val="00F33941"/>
    <w:rsid w:val="00F342EC"/>
    <w:rsid w:val="00F34B99"/>
    <w:rsid w:val="00F35315"/>
    <w:rsid w:val="00F36741"/>
    <w:rsid w:val="00F378F0"/>
    <w:rsid w:val="00F42226"/>
    <w:rsid w:val="00F45CC7"/>
    <w:rsid w:val="00F521CB"/>
    <w:rsid w:val="00F52C1B"/>
    <w:rsid w:val="00F52DAB"/>
    <w:rsid w:val="00F54007"/>
    <w:rsid w:val="00F543F0"/>
    <w:rsid w:val="00F5570E"/>
    <w:rsid w:val="00F65AFC"/>
    <w:rsid w:val="00F729D7"/>
    <w:rsid w:val="00F7466C"/>
    <w:rsid w:val="00F812D6"/>
    <w:rsid w:val="00F81D29"/>
    <w:rsid w:val="00F869F2"/>
    <w:rsid w:val="00F90A3B"/>
    <w:rsid w:val="00F90F35"/>
    <w:rsid w:val="00F91C4D"/>
    <w:rsid w:val="00F92FD9"/>
    <w:rsid w:val="00FA284E"/>
    <w:rsid w:val="00FA402B"/>
    <w:rsid w:val="00FA5F22"/>
    <w:rsid w:val="00FA6684"/>
    <w:rsid w:val="00FA731E"/>
    <w:rsid w:val="00FB0E72"/>
    <w:rsid w:val="00FB2B38"/>
    <w:rsid w:val="00FB6D5E"/>
    <w:rsid w:val="00FC27D1"/>
    <w:rsid w:val="00FC4978"/>
    <w:rsid w:val="00FC59BA"/>
    <w:rsid w:val="00FC6358"/>
    <w:rsid w:val="00FC6C34"/>
    <w:rsid w:val="00FC738C"/>
    <w:rsid w:val="00FD0EFA"/>
    <w:rsid w:val="00FD320D"/>
    <w:rsid w:val="00FD4655"/>
    <w:rsid w:val="00FD7FF5"/>
    <w:rsid w:val="00FE23DE"/>
    <w:rsid w:val="00FE2801"/>
    <w:rsid w:val="00FE7F5B"/>
    <w:rsid w:val="00FF4787"/>
    <w:rsid w:val="00FF5086"/>
    <w:rsid w:val="00FF7A27"/>
    <w:rsid w:val="010E119B"/>
    <w:rsid w:val="01260E98"/>
    <w:rsid w:val="01767CB9"/>
    <w:rsid w:val="017C6910"/>
    <w:rsid w:val="01852063"/>
    <w:rsid w:val="01E847E5"/>
    <w:rsid w:val="01EA0118"/>
    <w:rsid w:val="02033F3E"/>
    <w:rsid w:val="0227136C"/>
    <w:rsid w:val="029A1B3E"/>
    <w:rsid w:val="02C243BA"/>
    <w:rsid w:val="02C24BF1"/>
    <w:rsid w:val="0361265C"/>
    <w:rsid w:val="03836A76"/>
    <w:rsid w:val="03D35307"/>
    <w:rsid w:val="040C3445"/>
    <w:rsid w:val="042C5313"/>
    <w:rsid w:val="04693DBD"/>
    <w:rsid w:val="04F64A8F"/>
    <w:rsid w:val="04FF212C"/>
    <w:rsid w:val="051921B9"/>
    <w:rsid w:val="05237BC9"/>
    <w:rsid w:val="057A17B3"/>
    <w:rsid w:val="05B26008"/>
    <w:rsid w:val="05CB161E"/>
    <w:rsid w:val="05F5253A"/>
    <w:rsid w:val="065F10D4"/>
    <w:rsid w:val="068648B3"/>
    <w:rsid w:val="06BD404D"/>
    <w:rsid w:val="06CA2D56"/>
    <w:rsid w:val="06E04162"/>
    <w:rsid w:val="06E77428"/>
    <w:rsid w:val="06F061D0"/>
    <w:rsid w:val="0701218C"/>
    <w:rsid w:val="07071A53"/>
    <w:rsid w:val="070809BD"/>
    <w:rsid w:val="072E6CF9"/>
    <w:rsid w:val="075E2523"/>
    <w:rsid w:val="07857AB6"/>
    <w:rsid w:val="07862691"/>
    <w:rsid w:val="07AF5930"/>
    <w:rsid w:val="07BF1624"/>
    <w:rsid w:val="07E04497"/>
    <w:rsid w:val="07FD6DF7"/>
    <w:rsid w:val="08AF338E"/>
    <w:rsid w:val="08B60D5A"/>
    <w:rsid w:val="08FD6983"/>
    <w:rsid w:val="09246605"/>
    <w:rsid w:val="09304FAA"/>
    <w:rsid w:val="09AC1692"/>
    <w:rsid w:val="09BA2AC6"/>
    <w:rsid w:val="09E6321A"/>
    <w:rsid w:val="0A0E0285"/>
    <w:rsid w:val="0A5534D3"/>
    <w:rsid w:val="0ADE71BF"/>
    <w:rsid w:val="0B120836"/>
    <w:rsid w:val="0B462863"/>
    <w:rsid w:val="0BE578FE"/>
    <w:rsid w:val="0C883942"/>
    <w:rsid w:val="0C92602A"/>
    <w:rsid w:val="0C931AD8"/>
    <w:rsid w:val="0CBE4FF1"/>
    <w:rsid w:val="0D4252AC"/>
    <w:rsid w:val="0D6C2329"/>
    <w:rsid w:val="0DCB2546"/>
    <w:rsid w:val="0DD203DE"/>
    <w:rsid w:val="0DD26630"/>
    <w:rsid w:val="0DE16813"/>
    <w:rsid w:val="0DEA1BCB"/>
    <w:rsid w:val="0E2D3866"/>
    <w:rsid w:val="0EC56101"/>
    <w:rsid w:val="0F2A424A"/>
    <w:rsid w:val="0F742064"/>
    <w:rsid w:val="0F9F2542"/>
    <w:rsid w:val="0FD909A8"/>
    <w:rsid w:val="100708A1"/>
    <w:rsid w:val="10155D0B"/>
    <w:rsid w:val="10445171"/>
    <w:rsid w:val="107269C3"/>
    <w:rsid w:val="109B01E7"/>
    <w:rsid w:val="10AA5163"/>
    <w:rsid w:val="10C27E13"/>
    <w:rsid w:val="110913A6"/>
    <w:rsid w:val="111A3C44"/>
    <w:rsid w:val="115B57C2"/>
    <w:rsid w:val="11797DBA"/>
    <w:rsid w:val="118916FB"/>
    <w:rsid w:val="11997C43"/>
    <w:rsid w:val="12DD3B68"/>
    <w:rsid w:val="13347F17"/>
    <w:rsid w:val="13CC3B21"/>
    <w:rsid w:val="13E30432"/>
    <w:rsid w:val="1424395D"/>
    <w:rsid w:val="14486553"/>
    <w:rsid w:val="144931CD"/>
    <w:rsid w:val="14DE3B0C"/>
    <w:rsid w:val="154A2F50"/>
    <w:rsid w:val="154A41D0"/>
    <w:rsid w:val="15BD0FF3"/>
    <w:rsid w:val="15C701F1"/>
    <w:rsid w:val="15E71F25"/>
    <w:rsid w:val="15E943C5"/>
    <w:rsid w:val="15FA4976"/>
    <w:rsid w:val="16070E41"/>
    <w:rsid w:val="16260449"/>
    <w:rsid w:val="164C2CF7"/>
    <w:rsid w:val="167D1103"/>
    <w:rsid w:val="16AE750E"/>
    <w:rsid w:val="16E42C87"/>
    <w:rsid w:val="172577D0"/>
    <w:rsid w:val="172D48D7"/>
    <w:rsid w:val="17455686"/>
    <w:rsid w:val="175B0633"/>
    <w:rsid w:val="17793FC0"/>
    <w:rsid w:val="1787552C"/>
    <w:rsid w:val="17DD454F"/>
    <w:rsid w:val="186500A0"/>
    <w:rsid w:val="188350F6"/>
    <w:rsid w:val="18C33745"/>
    <w:rsid w:val="18FB7F38"/>
    <w:rsid w:val="19153875"/>
    <w:rsid w:val="199F2DB8"/>
    <w:rsid w:val="19C31523"/>
    <w:rsid w:val="19F25D6C"/>
    <w:rsid w:val="19F31E08"/>
    <w:rsid w:val="1A0C75F6"/>
    <w:rsid w:val="1A312930"/>
    <w:rsid w:val="1A3D7527"/>
    <w:rsid w:val="1A5339C4"/>
    <w:rsid w:val="1AA25EA9"/>
    <w:rsid w:val="1AB33A71"/>
    <w:rsid w:val="1B267FBB"/>
    <w:rsid w:val="1B8151F1"/>
    <w:rsid w:val="1B9969DF"/>
    <w:rsid w:val="1BB47375"/>
    <w:rsid w:val="1BE834C2"/>
    <w:rsid w:val="1BFE4A94"/>
    <w:rsid w:val="1C2F6084"/>
    <w:rsid w:val="1C4701E9"/>
    <w:rsid w:val="1C72145C"/>
    <w:rsid w:val="1C7A6810"/>
    <w:rsid w:val="1C9746FE"/>
    <w:rsid w:val="1CBD66FD"/>
    <w:rsid w:val="1CC8320D"/>
    <w:rsid w:val="1CD1268F"/>
    <w:rsid w:val="1D230C56"/>
    <w:rsid w:val="1D434832"/>
    <w:rsid w:val="1D5030CD"/>
    <w:rsid w:val="1D6D28AD"/>
    <w:rsid w:val="1D9C4564"/>
    <w:rsid w:val="1DA37A2A"/>
    <w:rsid w:val="1DBB1B9A"/>
    <w:rsid w:val="1DEA3522"/>
    <w:rsid w:val="1E6037E4"/>
    <w:rsid w:val="1EE9541F"/>
    <w:rsid w:val="1F1D1F1F"/>
    <w:rsid w:val="1F3C7DAD"/>
    <w:rsid w:val="1F4F1BB6"/>
    <w:rsid w:val="1F5C0367"/>
    <w:rsid w:val="1F9574BD"/>
    <w:rsid w:val="1FA626FF"/>
    <w:rsid w:val="1FA85442"/>
    <w:rsid w:val="1FAB00CF"/>
    <w:rsid w:val="1FD45059"/>
    <w:rsid w:val="2009009E"/>
    <w:rsid w:val="2027641B"/>
    <w:rsid w:val="203767C6"/>
    <w:rsid w:val="206060C9"/>
    <w:rsid w:val="206A0C3C"/>
    <w:rsid w:val="20D858B3"/>
    <w:rsid w:val="21384604"/>
    <w:rsid w:val="216929AF"/>
    <w:rsid w:val="217D46AD"/>
    <w:rsid w:val="21B06830"/>
    <w:rsid w:val="21BB2303"/>
    <w:rsid w:val="224A1787"/>
    <w:rsid w:val="22BD2FB3"/>
    <w:rsid w:val="231F2E64"/>
    <w:rsid w:val="233A0AA7"/>
    <w:rsid w:val="237613B4"/>
    <w:rsid w:val="23A94A81"/>
    <w:rsid w:val="23CF7500"/>
    <w:rsid w:val="242F7EE0"/>
    <w:rsid w:val="246001CD"/>
    <w:rsid w:val="249B0A0F"/>
    <w:rsid w:val="24D06FDE"/>
    <w:rsid w:val="257242FD"/>
    <w:rsid w:val="25B12B77"/>
    <w:rsid w:val="25E27C6A"/>
    <w:rsid w:val="260931C5"/>
    <w:rsid w:val="264646FA"/>
    <w:rsid w:val="26541E80"/>
    <w:rsid w:val="26591245"/>
    <w:rsid w:val="26633E71"/>
    <w:rsid w:val="26705B30"/>
    <w:rsid w:val="268442B2"/>
    <w:rsid w:val="26887D7C"/>
    <w:rsid w:val="269A5064"/>
    <w:rsid w:val="26FE3B9A"/>
    <w:rsid w:val="270F3098"/>
    <w:rsid w:val="275A5E45"/>
    <w:rsid w:val="277A0E4F"/>
    <w:rsid w:val="27D86AE1"/>
    <w:rsid w:val="28115C9D"/>
    <w:rsid w:val="28497097"/>
    <w:rsid w:val="288602EB"/>
    <w:rsid w:val="288F719F"/>
    <w:rsid w:val="28F72937"/>
    <w:rsid w:val="29424212"/>
    <w:rsid w:val="29471828"/>
    <w:rsid w:val="29B13146"/>
    <w:rsid w:val="29BD7B73"/>
    <w:rsid w:val="29D15596"/>
    <w:rsid w:val="29D86924"/>
    <w:rsid w:val="2A473AAA"/>
    <w:rsid w:val="2A622692"/>
    <w:rsid w:val="2B512E32"/>
    <w:rsid w:val="2B54022C"/>
    <w:rsid w:val="2B632B65"/>
    <w:rsid w:val="2BA94A1C"/>
    <w:rsid w:val="2BAF7B59"/>
    <w:rsid w:val="2BC929C8"/>
    <w:rsid w:val="2C302A48"/>
    <w:rsid w:val="2C372028"/>
    <w:rsid w:val="2C424529"/>
    <w:rsid w:val="2C8763E0"/>
    <w:rsid w:val="2C9A6F3E"/>
    <w:rsid w:val="2CAE1BBE"/>
    <w:rsid w:val="2CDC672B"/>
    <w:rsid w:val="2CE35D0C"/>
    <w:rsid w:val="2D152B51"/>
    <w:rsid w:val="2D1D0073"/>
    <w:rsid w:val="2DA84860"/>
    <w:rsid w:val="2DC378EB"/>
    <w:rsid w:val="2DEE28A9"/>
    <w:rsid w:val="2DFB7C05"/>
    <w:rsid w:val="2E165C6D"/>
    <w:rsid w:val="2EA27501"/>
    <w:rsid w:val="2EAB2859"/>
    <w:rsid w:val="2EB540B0"/>
    <w:rsid w:val="2ECB3F4C"/>
    <w:rsid w:val="2F141663"/>
    <w:rsid w:val="2F2019AC"/>
    <w:rsid w:val="2F45269A"/>
    <w:rsid w:val="2F465162"/>
    <w:rsid w:val="2FB87F4C"/>
    <w:rsid w:val="2FBE4A19"/>
    <w:rsid w:val="304F36B8"/>
    <w:rsid w:val="308B3B3C"/>
    <w:rsid w:val="310821E5"/>
    <w:rsid w:val="31321010"/>
    <w:rsid w:val="31913CA2"/>
    <w:rsid w:val="31F42769"/>
    <w:rsid w:val="321D3A6E"/>
    <w:rsid w:val="326C7A21"/>
    <w:rsid w:val="32B06690"/>
    <w:rsid w:val="32B84CE3"/>
    <w:rsid w:val="32CA3F86"/>
    <w:rsid w:val="32D83E39"/>
    <w:rsid w:val="32D97FA8"/>
    <w:rsid w:val="330662B0"/>
    <w:rsid w:val="330E33B7"/>
    <w:rsid w:val="33185FE3"/>
    <w:rsid w:val="336805E9"/>
    <w:rsid w:val="33924F62"/>
    <w:rsid w:val="33AE06F6"/>
    <w:rsid w:val="33E824E8"/>
    <w:rsid w:val="343432F1"/>
    <w:rsid w:val="34533777"/>
    <w:rsid w:val="347B4A7C"/>
    <w:rsid w:val="34CE0BD8"/>
    <w:rsid w:val="34F52A80"/>
    <w:rsid w:val="350923B9"/>
    <w:rsid w:val="355C10AF"/>
    <w:rsid w:val="35A87354"/>
    <w:rsid w:val="35AB1C9E"/>
    <w:rsid w:val="35EA20A9"/>
    <w:rsid w:val="360A60B7"/>
    <w:rsid w:val="36251D10"/>
    <w:rsid w:val="365C14F3"/>
    <w:rsid w:val="366854D4"/>
    <w:rsid w:val="36C042FF"/>
    <w:rsid w:val="36F71A76"/>
    <w:rsid w:val="372413FB"/>
    <w:rsid w:val="374101FF"/>
    <w:rsid w:val="37667C65"/>
    <w:rsid w:val="379C5435"/>
    <w:rsid w:val="379E05BD"/>
    <w:rsid w:val="37B53E84"/>
    <w:rsid w:val="37C419E5"/>
    <w:rsid w:val="37D270A9"/>
    <w:rsid w:val="37D9172C"/>
    <w:rsid w:val="38040C2A"/>
    <w:rsid w:val="38A7646A"/>
    <w:rsid w:val="38AF1198"/>
    <w:rsid w:val="391F00CC"/>
    <w:rsid w:val="39335925"/>
    <w:rsid w:val="39382F3B"/>
    <w:rsid w:val="39557F01"/>
    <w:rsid w:val="39A25A25"/>
    <w:rsid w:val="39E16811"/>
    <w:rsid w:val="3A321000"/>
    <w:rsid w:val="3ABA7E24"/>
    <w:rsid w:val="3AD24910"/>
    <w:rsid w:val="3AF74D41"/>
    <w:rsid w:val="3B0D04F0"/>
    <w:rsid w:val="3B4A33FA"/>
    <w:rsid w:val="3B572151"/>
    <w:rsid w:val="3B801E8C"/>
    <w:rsid w:val="3B936B4F"/>
    <w:rsid w:val="3BD02A77"/>
    <w:rsid w:val="3C08753D"/>
    <w:rsid w:val="3C090BBF"/>
    <w:rsid w:val="3C243F0E"/>
    <w:rsid w:val="3C4E2A76"/>
    <w:rsid w:val="3C6F6A8D"/>
    <w:rsid w:val="3C876767"/>
    <w:rsid w:val="3C8D46E7"/>
    <w:rsid w:val="3CC54624"/>
    <w:rsid w:val="3CD22B71"/>
    <w:rsid w:val="3CFB49AC"/>
    <w:rsid w:val="3CFD7A2D"/>
    <w:rsid w:val="3D03213D"/>
    <w:rsid w:val="3D483969"/>
    <w:rsid w:val="3D65451B"/>
    <w:rsid w:val="3DEC7905"/>
    <w:rsid w:val="3E1928C7"/>
    <w:rsid w:val="3E7F32FB"/>
    <w:rsid w:val="3E920578"/>
    <w:rsid w:val="3E976A09"/>
    <w:rsid w:val="3EF142B8"/>
    <w:rsid w:val="3F1643BE"/>
    <w:rsid w:val="3F746C97"/>
    <w:rsid w:val="3F8C7519"/>
    <w:rsid w:val="3F9E0124"/>
    <w:rsid w:val="3FEC2CD2"/>
    <w:rsid w:val="3FF12096"/>
    <w:rsid w:val="400F5404"/>
    <w:rsid w:val="40CB68BB"/>
    <w:rsid w:val="414A7CB0"/>
    <w:rsid w:val="41502DD2"/>
    <w:rsid w:val="4155693E"/>
    <w:rsid w:val="415F14FD"/>
    <w:rsid w:val="41605725"/>
    <w:rsid w:val="42220C2D"/>
    <w:rsid w:val="4269060A"/>
    <w:rsid w:val="42B06238"/>
    <w:rsid w:val="432033BE"/>
    <w:rsid w:val="435E5C94"/>
    <w:rsid w:val="438C2802"/>
    <w:rsid w:val="43A01E09"/>
    <w:rsid w:val="44254DD3"/>
    <w:rsid w:val="44315157"/>
    <w:rsid w:val="44316F05"/>
    <w:rsid w:val="44550E45"/>
    <w:rsid w:val="446077EA"/>
    <w:rsid w:val="458F54DE"/>
    <w:rsid w:val="45F428E0"/>
    <w:rsid w:val="464078D3"/>
    <w:rsid w:val="46DA7D28"/>
    <w:rsid w:val="46EB783F"/>
    <w:rsid w:val="46F072FC"/>
    <w:rsid w:val="472A6F43"/>
    <w:rsid w:val="475E6263"/>
    <w:rsid w:val="47A45368"/>
    <w:rsid w:val="47B2035D"/>
    <w:rsid w:val="47B440D5"/>
    <w:rsid w:val="47C27565"/>
    <w:rsid w:val="484C07B1"/>
    <w:rsid w:val="485E2293"/>
    <w:rsid w:val="489F2FD7"/>
    <w:rsid w:val="48B00D40"/>
    <w:rsid w:val="48FD385A"/>
    <w:rsid w:val="490C1966"/>
    <w:rsid w:val="490C322A"/>
    <w:rsid w:val="497A134E"/>
    <w:rsid w:val="49BD5514"/>
    <w:rsid w:val="4A3045E7"/>
    <w:rsid w:val="4A3C6604"/>
    <w:rsid w:val="4A3D47E7"/>
    <w:rsid w:val="4A963F66"/>
    <w:rsid w:val="4AD8632C"/>
    <w:rsid w:val="4B1F03FF"/>
    <w:rsid w:val="4B241572"/>
    <w:rsid w:val="4B3850D5"/>
    <w:rsid w:val="4B3C4B0D"/>
    <w:rsid w:val="4B632B6F"/>
    <w:rsid w:val="4B865D88"/>
    <w:rsid w:val="4B9011B2"/>
    <w:rsid w:val="4BB40B47"/>
    <w:rsid w:val="4BC93EC7"/>
    <w:rsid w:val="4BD42F98"/>
    <w:rsid w:val="4C567E51"/>
    <w:rsid w:val="4C9427CE"/>
    <w:rsid w:val="4CB44301"/>
    <w:rsid w:val="4CB44B77"/>
    <w:rsid w:val="4CBB5F06"/>
    <w:rsid w:val="4CE0596C"/>
    <w:rsid w:val="4CFD02CC"/>
    <w:rsid w:val="4D00622B"/>
    <w:rsid w:val="4D044808"/>
    <w:rsid w:val="4DB72B71"/>
    <w:rsid w:val="4E312209"/>
    <w:rsid w:val="4E595B01"/>
    <w:rsid w:val="4E870795"/>
    <w:rsid w:val="4E962786"/>
    <w:rsid w:val="4EAA7FE0"/>
    <w:rsid w:val="4EB8094F"/>
    <w:rsid w:val="4F1418FD"/>
    <w:rsid w:val="4F4F0B87"/>
    <w:rsid w:val="4F781E8C"/>
    <w:rsid w:val="4FAE4E5F"/>
    <w:rsid w:val="508D0734"/>
    <w:rsid w:val="508D5E0B"/>
    <w:rsid w:val="50AC6291"/>
    <w:rsid w:val="50EA1314"/>
    <w:rsid w:val="51400F0B"/>
    <w:rsid w:val="5156444F"/>
    <w:rsid w:val="51784EA6"/>
    <w:rsid w:val="51912B88"/>
    <w:rsid w:val="51BF3DA2"/>
    <w:rsid w:val="52505436"/>
    <w:rsid w:val="52793C3C"/>
    <w:rsid w:val="52BB733A"/>
    <w:rsid w:val="52CA0C50"/>
    <w:rsid w:val="52F1442F"/>
    <w:rsid w:val="52FA1ECF"/>
    <w:rsid w:val="53177F46"/>
    <w:rsid w:val="53642E53"/>
    <w:rsid w:val="543A0058"/>
    <w:rsid w:val="544559DF"/>
    <w:rsid w:val="54DC2EBD"/>
    <w:rsid w:val="54E1356B"/>
    <w:rsid w:val="554271C4"/>
    <w:rsid w:val="559F1AA1"/>
    <w:rsid w:val="55A06F8B"/>
    <w:rsid w:val="55A27B30"/>
    <w:rsid w:val="55D818D6"/>
    <w:rsid w:val="560B3A5A"/>
    <w:rsid w:val="56755377"/>
    <w:rsid w:val="56D12807"/>
    <w:rsid w:val="56E04EE6"/>
    <w:rsid w:val="572E219E"/>
    <w:rsid w:val="573207B1"/>
    <w:rsid w:val="574865E8"/>
    <w:rsid w:val="57CF54EB"/>
    <w:rsid w:val="58296419"/>
    <w:rsid w:val="583848AE"/>
    <w:rsid w:val="586C7E3D"/>
    <w:rsid w:val="58DD2A04"/>
    <w:rsid w:val="59670C1B"/>
    <w:rsid w:val="596B7306"/>
    <w:rsid w:val="59777BC7"/>
    <w:rsid w:val="59CA1372"/>
    <w:rsid w:val="59CE3709"/>
    <w:rsid w:val="59EA1140"/>
    <w:rsid w:val="59F20A8D"/>
    <w:rsid w:val="5A2C3F9F"/>
    <w:rsid w:val="5A600BAA"/>
    <w:rsid w:val="5A7F0B96"/>
    <w:rsid w:val="5A8F59F5"/>
    <w:rsid w:val="5AA24261"/>
    <w:rsid w:val="5ADA7E9F"/>
    <w:rsid w:val="5B41383E"/>
    <w:rsid w:val="5B4B2B4A"/>
    <w:rsid w:val="5B651AFC"/>
    <w:rsid w:val="5B6B05C7"/>
    <w:rsid w:val="5BBE7CD9"/>
    <w:rsid w:val="5BD963A8"/>
    <w:rsid w:val="5BEA4111"/>
    <w:rsid w:val="5C0056E3"/>
    <w:rsid w:val="5C8400C2"/>
    <w:rsid w:val="5C8871D2"/>
    <w:rsid w:val="5CB32755"/>
    <w:rsid w:val="5CE464DB"/>
    <w:rsid w:val="5D0E2082"/>
    <w:rsid w:val="5D487342"/>
    <w:rsid w:val="5D9A5A80"/>
    <w:rsid w:val="5DB217C6"/>
    <w:rsid w:val="5EC745C8"/>
    <w:rsid w:val="5EDA3AD6"/>
    <w:rsid w:val="5EEE3F19"/>
    <w:rsid w:val="5F465B03"/>
    <w:rsid w:val="5F6940CF"/>
    <w:rsid w:val="5F9570EB"/>
    <w:rsid w:val="5FAD7611"/>
    <w:rsid w:val="5FC15189"/>
    <w:rsid w:val="6045400C"/>
    <w:rsid w:val="606C2ECA"/>
    <w:rsid w:val="60762418"/>
    <w:rsid w:val="608A5EC3"/>
    <w:rsid w:val="608C1C3B"/>
    <w:rsid w:val="609D1752"/>
    <w:rsid w:val="609D2F2F"/>
    <w:rsid w:val="60C72C73"/>
    <w:rsid w:val="60E41135"/>
    <w:rsid w:val="61145773"/>
    <w:rsid w:val="617D1A33"/>
    <w:rsid w:val="61901233"/>
    <w:rsid w:val="61CF7D2D"/>
    <w:rsid w:val="623C6464"/>
    <w:rsid w:val="62751EB8"/>
    <w:rsid w:val="63200B9E"/>
    <w:rsid w:val="635B4DFF"/>
    <w:rsid w:val="63BC45E5"/>
    <w:rsid w:val="640146EE"/>
    <w:rsid w:val="643B3B42"/>
    <w:rsid w:val="644D5FC1"/>
    <w:rsid w:val="64C5396E"/>
    <w:rsid w:val="651E6BDA"/>
    <w:rsid w:val="654523B9"/>
    <w:rsid w:val="655A5E64"/>
    <w:rsid w:val="656377A7"/>
    <w:rsid w:val="657D2B45"/>
    <w:rsid w:val="65975E6E"/>
    <w:rsid w:val="667752EC"/>
    <w:rsid w:val="66AA741D"/>
    <w:rsid w:val="66B02438"/>
    <w:rsid w:val="66B95E09"/>
    <w:rsid w:val="66BA0A2D"/>
    <w:rsid w:val="66CF4630"/>
    <w:rsid w:val="66EE4D89"/>
    <w:rsid w:val="670C5884"/>
    <w:rsid w:val="67B02156"/>
    <w:rsid w:val="67FE709D"/>
    <w:rsid w:val="6835594A"/>
    <w:rsid w:val="6857613D"/>
    <w:rsid w:val="68660FC4"/>
    <w:rsid w:val="6873723D"/>
    <w:rsid w:val="68902444"/>
    <w:rsid w:val="68BD03FC"/>
    <w:rsid w:val="6916074D"/>
    <w:rsid w:val="691B590A"/>
    <w:rsid w:val="69271DD2"/>
    <w:rsid w:val="692D1AE1"/>
    <w:rsid w:val="69C266CE"/>
    <w:rsid w:val="69E228CC"/>
    <w:rsid w:val="6A0B3BD1"/>
    <w:rsid w:val="6A244298"/>
    <w:rsid w:val="6A3D5D54"/>
    <w:rsid w:val="6A5E2F38"/>
    <w:rsid w:val="6A7774B8"/>
    <w:rsid w:val="6AD06BC8"/>
    <w:rsid w:val="6AD14E1A"/>
    <w:rsid w:val="6ADE7537"/>
    <w:rsid w:val="6AF261B1"/>
    <w:rsid w:val="6AF37D81"/>
    <w:rsid w:val="6BCD314C"/>
    <w:rsid w:val="6BE4119E"/>
    <w:rsid w:val="6BE61753"/>
    <w:rsid w:val="6C012473"/>
    <w:rsid w:val="6CC77B5E"/>
    <w:rsid w:val="6CDE55CC"/>
    <w:rsid w:val="6CFD633E"/>
    <w:rsid w:val="6D1C3950"/>
    <w:rsid w:val="6DBE53FE"/>
    <w:rsid w:val="6DCA66D7"/>
    <w:rsid w:val="6E1312A6"/>
    <w:rsid w:val="6E3B25AB"/>
    <w:rsid w:val="6E445903"/>
    <w:rsid w:val="6E8D72AA"/>
    <w:rsid w:val="6EF96F2C"/>
    <w:rsid w:val="6F396E05"/>
    <w:rsid w:val="6FC35687"/>
    <w:rsid w:val="70677EAB"/>
    <w:rsid w:val="707F2C23"/>
    <w:rsid w:val="70BB79D3"/>
    <w:rsid w:val="70D94A29"/>
    <w:rsid w:val="70E47FE1"/>
    <w:rsid w:val="710B6BAC"/>
    <w:rsid w:val="71174061"/>
    <w:rsid w:val="712B4B58"/>
    <w:rsid w:val="71614A1E"/>
    <w:rsid w:val="721B0903"/>
    <w:rsid w:val="7257212E"/>
    <w:rsid w:val="727B38BE"/>
    <w:rsid w:val="729C3F60"/>
    <w:rsid w:val="72FD42D3"/>
    <w:rsid w:val="738342CF"/>
    <w:rsid w:val="73993FFB"/>
    <w:rsid w:val="73C9739F"/>
    <w:rsid w:val="73D4587E"/>
    <w:rsid w:val="73E8676B"/>
    <w:rsid w:val="74454183"/>
    <w:rsid w:val="744F0B5E"/>
    <w:rsid w:val="74671C98"/>
    <w:rsid w:val="747405C4"/>
    <w:rsid w:val="74E90E31"/>
    <w:rsid w:val="750D4CA9"/>
    <w:rsid w:val="752A6D36"/>
    <w:rsid w:val="75A5137D"/>
    <w:rsid w:val="75B17B7F"/>
    <w:rsid w:val="75F47C0F"/>
    <w:rsid w:val="76085468"/>
    <w:rsid w:val="76674F08"/>
    <w:rsid w:val="76746FA2"/>
    <w:rsid w:val="7688165F"/>
    <w:rsid w:val="76AF38CC"/>
    <w:rsid w:val="76DA7A8E"/>
    <w:rsid w:val="76E47147"/>
    <w:rsid w:val="775860EE"/>
    <w:rsid w:val="776E2C70"/>
    <w:rsid w:val="77F263D0"/>
    <w:rsid w:val="78307A7E"/>
    <w:rsid w:val="783C3AEF"/>
    <w:rsid w:val="78410BAE"/>
    <w:rsid w:val="7854604D"/>
    <w:rsid w:val="78762B5D"/>
    <w:rsid w:val="78A551F0"/>
    <w:rsid w:val="78B47B29"/>
    <w:rsid w:val="78C7160B"/>
    <w:rsid w:val="78CF226D"/>
    <w:rsid w:val="792F148E"/>
    <w:rsid w:val="79312F28"/>
    <w:rsid w:val="793A050B"/>
    <w:rsid w:val="797A667D"/>
    <w:rsid w:val="79B75FA8"/>
    <w:rsid w:val="79CC49FF"/>
    <w:rsid w:val="79E20C03"/>
    <w:rsid w:val="7A7C01D3"/>
    <w:rsid w:val="7A953930"/>
    <w:rsid w:val="7ADC27A8"/>
    <w:rsid w:val="7AFA69D6"/>
    <w:rsid w:val="7B164F4C"/>
    <w:rsid w:val="7B281A10"/>
    <w:rsid w:val="7B65510B"/>
    <w:rsid w:val="7B6F4184"/>
    <w:rsid w:val="7C105031"/>
    <w:rsid w:val="7C266648"/>
    <w:rsid w:val="7C321491"/>
    <w:rsid w:val="7CF5737F"/>
    <w:rsid w:val="7D40373A"/>
    <w:rsid w:val="7D52346D"/>
    <w:rsid w:val="7D8B70AB"/>
    <w:rsid w:val="7D8E26F7"/>
    <w:rsid w:val="7DBB3D0E"/>
    <w:rsid w:val="7DC66335"/>
    <w:rsid w:val="7E4548B9"/>
    <w:rsid w:val="7E7E7A8A"/>
    <w:rsid w:val="7EB763C2"/>
    <w:rsid w:val="7EC058AE"/>
    <w:rsid w:val="7EF944E8"/>
    <w:rsid w:val="7F037115"/>
    <w:rsid w:val="7F376DBE"/>
    <w:rsid w:val="7FBA7C20"/>
    <w:rsid w:val="7FCC7507"/>
    <w:rsid w:val="7FF8654D"/>
    <w:rsid w:val="FDFC836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0" w:semiHidden="0" w:name="index 6"/>
    <w:lsdException w:qFormat="1" w:unhideWhenUsed="0" w:uiPriority="99" w:semiHidden="0" w:name="index 7"/>
    <w:lsdException w:qFormat="1" w:unhideWhenUsed="0" w:uiPriority="0" w:semiHidden="0" w:name="index 8"/>
    <w:lsdException w:qFormat="1" w:unhideWhenUsed="0" w:uiPriority="99" w:semiHidden="0" w:name="index 9"/>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sdException w:qFormat="1" w:unhideWhenUsed="0" w:uiPriority="99" w:semiHidden="0" w:name="footnote text"/>
    <w:lsdException w:qFormat="1" w:unhideWhenUsed="0" w:uiPriority="99" w:name="annotation text"/>
    <w:lsdException w:qFormat="1" w:unhideWhenUsed="0" w:uiPriority="99" w:semiHidden="0" w:name="header"/>
    <w:lsdException w:qFormat="1" w:unhideWhenUsed="0" w:uiPriority="99" w:semiHidden="0" w:name="footer"/>
    <w:lsdException w:qFormat="1" w:unhideWhenUsed="0" w:uiPriority="99" w:semiHidden="0" w:name="index heading"/>
    <w:lsdException w:qFormat="1" w:unhideWhenUsed="0" w:uiPriority="99" w:semiHidden="0" w:name="caption"/>
    <w:lsdException w:uiPriority="99" w:name="table of figures"/>
    <w:lsdException w:uiPriority="99" w:name="envelope address"/>
    <w:lsdException w:uiPriority="99" w:name="envelope return"/>
    <w:lsdException w:qFormat="1" w:unhideWhenUsed="0" w:uiPriority="99" w:name="footnote reference"/>
    <w:lsdException w:qFormat="1" w:unhideWhenUsed="0" w:uiPriority="99" w:name="annotation reference"/>
    <w:lsdException w:uiPriority="99" w:name="line number"/>
    <w:lsdException w:qFormat="1" w:unhideWhenUsed="0" w:uiPriority="99" w:semiHidden="0" w:name="page number"/>
    <w:lsdException w:qFormat="1" w:unhideWhenUsed="0" w:uiPriority="99" w:name="endnote reference"/>
    <w:lsdException w:qFormat="1" w:unhideWhenUsed="0"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0" w:semiHidden="0" w:name="Strong" w:locked="1"/>
    <w:lsdException w:qFormat="1" w:unhideWhenUsed="0" w:uiPriority="0" w:semiHidden="0" w:name="Emphasis" w:locked="1"/>
    <w:lsdException w:qFormat="1" w:unhideWhenUsed="0" w:uiPriority="99" w:name="Document Map"/>
    <w:lsdException w:qFormat="1"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45"/>
    <w:qFormat/>
    <w:uiPriority w:val="99"/>
    <w:pPr>
      <w:widowControl/>
      <w:spacing w:before="450" w:after="100" w:afterAutospacing="1"/>
      <w:jc w:val="center"/>
      <w:outlineLvl w:val="0"/>
    </w:pPr>
    <w:rPr>
      <w:rFonts w:ascii="宋体" w:hAnsi="宋体"/>
      <w:b/>
      <w:bCs/>
      <w:kern w:val="36"/>
      <w:sz w:val="36"/>
      <w:szCs w:val="36"/>
    </w:rPr>
  </w:style>
  <w:style w:type="paragraph" w:styleId="4">
    <w:name w:val="heading 3"/>
    <w:basedOn w:val="1"/>
    <w:next w:val="1"/>
    <w:semiHidden/>
    <w:unhideWhenUsed/>
    <w:qFormat/>
    <w:locked/>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38">
    <w:name w:val="Default Paragraph Font"/>
    <w:semiHidden/>
    <w:unhideWhenUsed/>
    <w:qFormat/>
    <w:uiPriority w:val="1"/>
  </w:style>
  <w:style w:type="table" w:default="1" w:styleId="36">
    <w:name w:val="Normal Table"/>
    <w:semiHidden/>
    <w:unhideWhenUsed/>
    <w:qFormat/>
    <w:uiPriority w:val="99"/>
    <w:tblPr>
      <w:tblCellMar>
        <w:top w:w="0" w:type="dxa"/>
        <w:left w:w="108" w:type="dxa"/>
        <w:bottom w:w="0" w:type="dxa"/>
        <w:right w:w="108" w:type="dxa"/>
      </w:tblCellMar>
    </w:tblPr>
  </w:style>
  <w:style w:type="paragraph" w:styleId="2">
    <w:name w:val="Plain Text"/>
    <w:basedOn w:val="1"/>
    <w:semiHidden/>
    <w:unhideWhenUsed/>
    <w:qFormat/>
    <w:uiPriority w:val="99"/>
    <w:rPr>
      <w:rFonts w:ascii="宋体" w:hAnsi="Courier New"/>
    </w:rPr>
  </w:style>
  <w:style w:type="paragraph" w:styleId="5">
    <w:name w:val="toc 7"/>
    <w:basedOn w:val="1"/>
    <w:next w:val="1"/>
    <w:semiHidden/>
    <w:qFormat/>
    <w:uiPriority w:val="99"/>
    <w:pPr>
      <w:tabs>
        <w:tab w:val="right" w:leader="dot" w:pos="9241"/>
      </w:tabs>
      <w:ind w:firstLine="500" w:firstLineChars="500"/>
      <w:jc w:val="left"/>
    </w:pPr>
    <w:rPr>
      <w:rFonts w:ascii="宋体"/>
      <w:szCs w:val="21"/>
    </w:rPr>
  </w:style>
  <w:style w:type="paragraph" w:styleId="6">
    <w:name w:val="index 8"/>
    <w:basedOn w:val="1"/>
    <w:next w:val="1"/>
    <w:qFormat/>
    <w:uiPriority w:val="0"/>
    <w:pPr>
      <w:ind w:left="1680" w:hanging="210"/>
      <w:jc w:val="left"/>
    </w:pPr>
    <w:rPr>
      <w:rFonts w:ascii="Calibri" w:hAnsi="Calibri"/>
      <w:sz w:val="20"/>
      <w:szCs w:val="20"/>
    </w:rPr>
  </w:style>
  <w:style w:type="paragraph" w:styleId="7">
    <w:name w:val="caption"/>
    <w:basedOn w:val="1"/>
    <w:next w:val="1"/>
    <w:qFormat/>
    <w:uiPriority w:val="99"/>
    <w:pPr>
      <w:spacing w:before="152" w:after="160"/>
    </w:pPr>
    <w:rPr>
      <w:rFonts w:ascii="Arial" w:hAnsi="Arial" w:eastAsia="黑体" w:cs="Arial"/>
      <w:sz w:val="20"/>
      <w:szCs w:val="20"/>
    </w:rPr>
  </w:style>
  <w:style w:type="paragraph" w:styleId="8">
    <w:name w:val="index 5"/>
    <w:basedOn w:val="1"/>
    <w:next w:val="1"/>
    <w:qFormat/>
    <w:uiPriority w:val="99"/>
    <w:pPr>
      <w:ind w:left="1050" w:hanging="210"/>
      <w:jc w:val="left"/>
    </w:pPr>
    <w:rPr>
      <w:rFonts w:ascii="Calibri" w:hAnsi="Calibri"/>
      <w:sz w:val="20"/>
      <w:szCs w:val="20"/>
    </w:rPr>
  </w:style>
  <w:style w:type="paragraph" w:styleId="9">
    <w:name w:val="Document Map"/>
    <w:basedOn w:val="1"/>
    <w:link w:val="132"/>
    <w:semiHidden/>
    <w:qFormat/>
    <w:uiPriority w:val="99"/>
    <w:pPr>
      <w:shd w:val="clear" w:color="auto" w:fill="000080"/>
    </w:pPr>
  </w:style>
  <w:style w:type="paragraph" w:styleId="10">
    <w:name w:val="annotation text"/>
    <w:basedOn w:val="1"/>
    <w:link w:val="150"/>
    <w:semiHidden/>
    <w:qFormat/>
    <w:uiPriority w:val="99"/>
    <w:pPr>
      <w:jc w:val="left"/>
    </w:pPr>
  </w:style>
  <w:style w:type="paragraph" w:styleId="11">
    <w:name w:val="index 6"/>
    <w:basedOn w:val="1"/>
    <w:next w:val="1"/>
    <w:qFormat/>
    <w:uiPriority w:val="0"/>
    <w:pPr>
      <w:ind w:left="1260" w:hanging="210"/>
      <w:jc w:val="left"/>
    </w:pPr>
    <w:rPr>
      <w:rFonts w:ascii="Calibri" w:hAnsi="Calibri"/>
      <w:sz w:val="20"/>
      <w:szCs w:val="20"/>
    </w:rPr>
  </w:style>
  <w:style w:type="paragraph" w:styleId="12">
    <w:name w:val="Body Text"/>
    <w:basedOn w:val="1"/>
    <w:qFormat/>
    <w:uiPriority w:val="1"/>
    <w:pPr>
      <w:jc w:val="left"/>
    </w:pPr>
    <w:rPr>
      <w:rFonts w:eastAsia="Times New Roman" w:cstheme="minorBidi"/>
      <w:kern w:val="0"/>
      <w:sz w:val="28"/>
      <w:szCs w:val="28"/>
      <w:lang w:eastAsia="en-US"/>
    </w:rPr>
  </w:style>
  <w:style w:type="paragraph" w:styleId="13">
    <w:name w:val="index 4"/>
    <w:basedOn w:val="1"/>
    <w:next w:val="1"/>
    <w:qFormat/>
    <w:uiPriority w:val="99"/>
    <w:pPr>
      <w:ind w:left="840" w:hanging="210"/>
      <w:jc w:val="left"/>
    </w:pPr>
    <w:rPr>
      <w:rFonts w:ascii="Calibri" w:hAnsi="Calibri"/>
      <w:sz w:val="20"/>
      <w:szCs w:val="20"/>
    </w:rPr>
  </w:style>
  <w:style w:type="paragraph" w:styleId="14">
    <w:name w:val="toc 5"/>
    <w:basedOn w:val="1"/>
    <w:next w:val="1"/>
    <w:semiHidden/>
    <w:qFormat/>
    <w:uiPriority w:val="99"/>
    <w:pPr>
      <w:tabs>
        <w:tab w:val="right" w:leader="dot" w:pos="9241"/>
      </w:tabs>
      <w:ind w:firstLine="300" w:firstLineChars="300"/>
      <w:jc w:val="left"/>
    </w:pPr>
    <w:rPr>
      <w:rFonts w:ascii="宋体"/>
      <w:szCs w:val="21"/>
    </w:rPr>
  </w:style>
  <w:style w:type="paragraph" w:styleId="15">
    <w:name w:val="toc 3"/>
    <w:basedOn w:val="1"/>
    <w:next w:val="1"/>
    <w:semiHidden/>
    <w:qFormat/>
    <w:uiPriority w:val="99"/>
    <w:pPr>
      <w:tabs>
        <w:tab w:val="right" w:leader="dot" w:pos="9241"/>
      </w:tabs>
      <w:ind w:firstLine="100" w:firstLineChars="100"/>
      <w:jc w:val="left"/>
    </w:pPr>
    <w:rPr>
      <w:rFonts w:ascii="宋体"/>
      <w:szCs w:val="21"/>
    </w:rPr>
  </w:style>
  <w:style w:type="paragraph" w:styleId="16">
    <w:name w:val="toc 8"/>
    <w:basedOn w:val="1"/>
    <w:next w:val="1"/>
    <w:semiHidden/>
    <w:qFormat/>
    <w:uiPriority w:val="99"/>
    <w:pPr>
      <w:tabs>
        <w:tab w:val="right" w:leader="dot" w:pos="9241"/>
      </w:tabs>
      <w:ind w:firstLine="607" w:firstLineChars="600"/>
      <w:jc w:val="left"/>
    </w:pPr>
    <w:rPr>
      <w:rFonts w:ascii="宋体"/>
      <w:szCs w:val="21"/>
    </w:rPr>
  </w:style>
  <w:style w:type="paragraph" w:styleId="17">
    <w:name w:val="index 3"/>
    <w:basedOn w:val="1"/>
    <w:next w:val="1"/>
    <w:qFormat/>
    <w:uiPriority w:val="99"/>
    <w:pPr>
      <w:ind w:left="630" w:hanging="210"/>
      <w:jc w:val="left"/>
    </w:pPr>
    <w:rPr>
      <w:rFonts w:ascii="Calibri" w:hAnsi="Calibri"/>
      <w:sz w:val="20"/>
      <w:szCs w:val="20"/>
    </w:rPr>
  </w:style>
  <w:style w:type="paragraph" w:styleId="18">
    <w:name w:val="Date"/>
    <w:basedOn w:val="1"/>
    <w:next w:val="1"/>
    <w:link w:val="149"/>
    <w:qFormat/>
    <w:uiPriority w:val="99"/>
    <w:pPr>
      <w:ind w:left="100" w:leftChars="2500"/>
    </w:pPr>
  </w:style>
  <w:style w:type="paragraph" w:styleId="19">
    <w:name w:val="endnote text"/>
    <w:basedOn w:val="1"/>
    <w:link w:val="131"/>
    <w:semiHidden/>
    <w:qFormat/>
    <w:uiPriority w:val="99"/>
    <w:pPr>
      <w:snapToGrid w:val="0"/>
      <w:jc w:val="left"/>
    </w:pPr>
  </w:style>
  <w:style w:type="paragraph" w:styleId="20">
    <w:name w:val="Balloon Text"/>
    <w:basedOn w:val="1"/>
    <w:link w:val="147"/>
    <w:qFormat/>
    <w:uiPriority w:val="99"/>
    <w:rPr>
      <w:sz w:val="18"/>
      <w:szCs w:val="18"/>
    </w:rPr>
  </w:style>
  <w:style w:type="paragraph" w:styleId="21">
    <w:name w:val="footer"/>
    <w:basedOn w:val="1"/>
    <w:link w:val="62"/>
    <w:qFormat/>
    <w:uiPriority w:val="99"/>
    <w:pPr>
      <w:snapToGrid w:val="0"/>
      <w:ind w:right="210" w:rightChars="100"/>
      <w:jc w:val="right"/>
    </w:pPr>
    <w:rPr>
      <w:sz w:val="18"/>
      <w:szCs w:val="18"/>
    </w:rPr>
  </w:style>
  <w:style w:type="paragraph" w:styleId="22">
    <w:name w:val="header"/>
    <w:basedOn w:val="1"/>
    <w:link w:val="63"/>
    <w:qFormat/>
    <w:uiPriority w:val="99"/>
    <w:pPr>
      <w:snapToGrid w:val="0"/>
      <w:jc w:val="left"/>
    </w:pPr>
    <w:rPr>
      <w:sz w:val="18"/>
      <w:szCs w:val="18"/>
    </w:rPr>
  </w:style>
  <w:style w:type="paragraph" w:styleId="23">
    <w:name w:val="toc 1"/>
    <w:basedOn w:val="1"/>
    <w:next w:val="1"/>
    <w:semiHidden/>
    <w:qFormat/>
    <w:uiPriority w:val="99"/>
    <w:pPr>
      <w:tabs>
        <w:tab w:val="right" w:leader="dot" w:pos="9242"/>
      </w:tabs>
      <w:spacing w:beforeLines="25" w:afterLines="25"/>
      <w:jc w:val="left"/>
    </w:pPr>
    <w:rPr>
      <w:rFonts w:ascii="宋体"/>
      <w:szCs w:val="21"/>
    </w:rPr>
  </w:style>
  <w:style w:type="paragraph" w:styleId="24">
    <w:name w:val="toc 4"/>
    <w:basedOn w:val="1"/>
    <w:next w:val="1"/>
    <w:semiHidden/>
    <w:qFormat/>
    <w:uiPriority w:val="99"/>
    <w:pPr>
      <w:tabs>
        <w:tab w:val="right" w:leader="dot" w:pos="9241"/>
      </w:tabs>
      <w:ind w:firstLine="200" w:firstLineChars="200"/>
      <w:jc w:val="left"/>
    </w:pPr>
    <w:rPr>
      <w:rFonts w:ascii="宋体"/>
      <w:szCs w:val="21"/>
    </w:rPr>
  </w:style>
  <w:style w:type="paragraph" w:styleId="25">
    <w:name w:val="index heading"/>
    <w:basedOn w:val="1"/>
    <w:next w:val="26"/>
    <w:qFormat/>
    <w:uiPriority w:val="99"/>
    <w:pPr>
      <w:spacing w:before="120" w:after="120"/>
      <w:jc w:val="center"/>
    </w:pPr>
    <w:rPr>
      <w:rFonts w:ascii="Calibri" w:hAnsi="Calibri"/>
      <w:b/>
      <w:bCs/>
      <w:iCs/>
      <w:szCs w:val="20"/>
    </w:rPr>
  </w:style>
  <w:style w:type="paragraph" w:styleId="26">
    <w:name w:val="index 1"/>
    <w:basedOn w:val="1"/>
    <w:next w:val="27"/>
    <w:qFormat/>
    <w:uiPriority w:val="99"/>
    <w:pPr>
      <w:tabs>
        <w:tab w:val="right" w:leader="dot" w:pos="9299"/>
      </w:tabs>
      <w:jc w:val="left"/>
    </w:pPr>
    <w:rPr>
      <w:rFonts w:ascii="宋体"/>
      <w:szCs w:val="21"/>
    </w:rPr>
  </w:style>
  <w:style w:type="paragraph" w:customStyle="1" w:styleId="27">
    <w:name w:val="段"/>
    <w:link w:val="46"/>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8">
    <w:name w:val="footnote text"/>
    <w:basedOn w:val="1"/>
    <w:link w:val="113"/>
    <w:qFormat/>
    <w:uiPriority w:val="99"/>
    <w:pPr>
      <w:numPr>
        <w:ilvl w:val="0"/>
        <w:numId w:val="1"/>
      </w:numPr>
      <w:snapToGrid w:val="0"/>
      <w:jc w:val="left"/>
    </w:pPr>
    <w:rPr>
      <w:rFonts w:ascii="宋体"/>
      <w:sz w:val="18"/>
      <w:szCs w:val="18"/>
    </w:rPr>
  </w:style>
  <w:style w:type="paragraph" w:styleId="29">
    <w:name w:val="toc 6"/>
    <w:basedOn w:val="1"/>
    <w:next w:val="1"/>
    <w:semiHidden/>
    <w:qFormat/>
    <w:uiPriority w:val="99"/>
    <w:pPr>
      <w:tabs>
        <w:tab w:val="right" w:leader="dot" w:pos="9241"/>
      </w:tabs>
      <w:ind w:firstLine="400" w:firstLineChars="400"/>
      <w:jc w:val="left"/>
    </w:pPr>
    <w:rPr>
      <w:rFonts w:ascii="宋体"/>
      <w:szCs w:val="21"/>
    </w:rPr>
  </w:style>
  <w:style w:type="paragraph" w:styleId="30">
    <w:name w:val="index 7"/>
    <w:basedOn w:val="1"/>
    <w:next w:val="1"/>
    <w:qFormat/>
    <w:uiPriority w:val="99"/>
    <w:pPr>
      <w:ind w:left="1470" w:hanging="210"/>
      <w:jc w:val="left"/>
    </w:pPr>
    <w:rPr>
      <w:rFonts w:ascii="Calibri" w:hAnsi="Calibri"/>
      <w:sz w:val="20"/>
      <w:szCs w:val="20"/>
    </w:rPr>
  </w:style>
  <w:style w:type="paragraph" w:styleId="31">
    <w:name w:val="index 9"/>
    <w:basedOn w:val="1"/>
    <w:next w:val="1"/>
    <w:qFormat/>
    <w:uiPriority w:val="99"/>
    <w:pPr>
      <w:ind w:left="1890" w:hanging="210"/>
      <w:jc w:val="left"/>
    </w:pPr>
    <w:rPr>
      <w:rFonts w:ascii="Calibri" w:hAnsi="Calibri"/>
      <w:sz w:val="20"/>
      <w:szCs w:val="20"/>
    </w:rPr>
  </w:style>
  <w:style w:type="paragraph" w:styleId="32">
    <w:name w:val="toc 2"/>
    <w:basedOn w:val="1"/>
    <w:next w:val="1"/>
    <w:semiHidden/>
    <w:qFormat/>
    <w:uiPriority w:val="99"/>
    <w:pPr>
      <w:tabs>
        <w:tab w:val="right" w:leader="dot" w:pos="9242"/>
      </w:tabs>
    </w:pPr>
    <w:rPr>
      <w:rFonts w:ascii="宋体"/>
      <w:szCs w:val="21"/>
    </w:rPr>
  </w:style>
  <w:style w:type="paragraph" w:styleId="33">
    <w:name w:val="toc 9"/>
    <w:basedOn w:val="1"/>
    <w:next w:val="1"/>
    <w:semiHidden/>
    <w:qFormat/>
    <w:uiPriority w:val="99"/>
    <w:pPr>
      <w:ind w:left="1470"/>
      <w:jc w:val="left"/>
    </w:pPr>
    <w:rPr>
      <w:sz w:val="20"/>
      <w:szCs w:val="20"/>
    </w:rPr>
  </w:style>
  <w:style w:type="paragraph" w:styleId="34">
    <w:name w:val="index 2"/>
    <w:basedOn w:val="1"/>
    <w:next w:val="1"/>
    <w:qFormat/>
    <w:uiPriority w:val="99"/>
    <w:pPr>
      <w:ind w:left="420" w:hanging="210"/>
      <w:jc w:val="left"/>
    </w:pPr>
    <w:rPr>
      <w:rFonts w:ascii="Calibri" w:hAnsi="Calibri"/>
      <w:sz w:val="20"/>
      <w:szCs w:val="20"/>
    </w:rPr>
  </w:style>
  <w:style w:type="paragraph" w:styleId="35">
    <w:name w:val="annotation subject"/>
    <w:basedOn w:val="10"/>
    <w:next w:val="10"/>
    <w:link w:val="151"/>
    <w:semiHidden/>
    <w:qFormat/>
    <w:uiPriority w:val="99"/>
    <w:rPr>
      <w:b/>
      <w:bCs/>
    </w:rPr>
  </w:style>
  <w:style w:type="table" w:styleId="37">
    <w:name w:val="Table Grid"/>
    <w:basedOn w:val="36"/>
    <w:qFormat/>
    <w:uiPriority w:val="5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9">
    <w:name w:val="endnote reference"/>
    <w:basedOn w:val="38"/>
    <w:semiHidden/>
    <w:qFormat/>
    <w:uiPriority w:val="99"/>
    <w:rPr>
      <w:rFonts w:cs="Times New Roman"/>
      <w:vertAlign w:val="superscript"/>
    </w:rPr>
  </w:style>
  <w:style w:type="character" w:styleId="40">
    <w:name w:val="page number"/>
    <w:basedOn w:val="38"/>
    <w:qFormat/>
    <w:uiPriority w:val="99"/>
    <w:rPr>
      <w:rFonts w:ascii="Times New Roman" w:hAnsi="Times New Roman" w:eastAsia="宋体" w:cs="Times New Roman"/>
      <w:sz w:val="18"/>
    </w:rPr>
  </w:style>
  <w:style w:type="character" w:styleId="41">
    <w:name w:val="FollowedHyperlink"/>
    <w:basedOn w:val="38"/>
    <w:qFormat/>
    <w:uiPriority w:val="99"/>
    <w:rPr>
      <w:rFonts w:cs="Times New Roman"/>
      <w:color w:val="800080"/>
      <w:u w:val="single"/>
    </w:rPr>
  </w:style>
  <w:style w:type="character" w:styleId="42">
    <w:name w:val="Hyperlink"/>
    <w:basedOn w:val="38"/>
    <w:qFormat/>
    <w:uiPriority w:val="99"/>
    <w:rPr>
      <w:rFonts w:cs="Times New Roman"/>
      <w:color w:val="0000FF"/>
      <w:spacing w:val="0"/>
      <w:w w:val="100"/>
      <w:sz w:val="21"/>
      <w:szCs w:val="21"/>
      <w:u w:val="single"/>
    </w:rPr>
  </w:style>
  <w:style w:type="character" w:styleId="43">
    <w:name w:val="annotation reference"/>
    <w:basedOn w:val="38"/>
    <w:semiHidden/>
    <w:qFormat/>
    <w:uiPriority w:val="99"/>
    <w:rPr>
      <w:rFonts w:cs="Times New Roman"/>
      <w:sz w:val="21"/>
      <w:szCs w:val="21"/>
    </w:rPr>
  </w:style>
  <w:style w:type="character" w:styleId="44">
    <w:name w:val="footnote reference"/>
    <w:basedOn w:val="38"/>
    <w:semiHidden/>
    <w:qFormat/>
    <w:uiPriority w:val="99"/>
    <w:rPr>
      <w:rFonts w:cs="Times New Roman"/>
      <w:vertAlign w:val="superscript"/>
    </w:rPr>
  </w:style>
  <w:style w:type="character" w:customStyle="1" w:styleId="45">
    <w:name w:val="标题 1 字符"/>
    <w:basedOn w:val="38"/>
    <w:link w:val="3"/>
    <w:qFormat/>
    <w:locked/>
    <w:uiPriority w:val="99"/>
    <w:rPr>
      <w:rFonts w:ascii="宋体" w:eastAsia="宋体" w:cs="Times New Roman"/>
      <w:b/>
      <w:bCs/>
      <w:kern w:val="36"/>
      <w:sz w:val="36"/>
      <w:szCs w:val="36"/>
    </w:rPr>
  </w:style>
  <w:style w:type="character" w:customStyle="1" w:styleId="46">
    <w:name w:val="段 Char"/>
    <w:basedOn w:val="38"/>
    <w:link w:val="27"/>
    <w:qFormat/>
    <w:locked/>
    <w:uiPriority w:val="0"/>
    <w:rPr>
      <w:rFonts w:ascii="宋体" w:cs="Times New Roman"/>
      <w:sz w:val="21"/>
      <w:lang w:val="en-US" w:eastAsia="zh-CN" w:bidi="ar-SA"/>
    </w:rPr>
  </w:style>
  <w:style w:type="paragraph" w:customStyle="1" w:styleId="47">
    <w:name w:val="一级条标题"/>
    <w:next w:val="27"/>
    <w:qFormat/>
    <w:uiPriority w:val="0"/>
    <w:pPr>
      <w:numPr>
        <w:ilvl w:val="1"/>
        <w:numId w:val="2"/>
      </w:numPr>
      <w:spacing w:beforeLines="50" w:afterLines="50"/>
      <w:outlineLvl w:val="2"/>
    </w:pPr>
    <w:rPr>
      <w:rFonts w:ascii="黑体" w:hAnsi="Times New Roman" w:eastAsia="黑体" w:cs="Times New Roman"/>
      <w:sz w:val="21"/>
      <w:szCs w:val="21"/>
      <w:lang w:val="en-US" w:eastAsia="zh-CN" w:bidi="ar-SA"/>
    </w:rPr>
  </w:style>
  <w:style w:type="paragraph" w:customStyle="1" w:styleId="48">
    <w:name w:val="标准书脚_奇数页"/>
    <w:qFormat/>
    <w:uiPriority w:val="99"/>
    <w:pPr>
      <w:spacing w:before="120"/>
      <w:ind w:right="198"/>
      <w:jc w:val="right"/>
    </w:pPr>
    <w:rPr>
      <w:rFonts w:ascii="宋体" w:hAnsi="Times New Roman" w:eastAsia="宋体" w:cs="Times New Roman"/>
      <w:sz w:val="18"/>
      <w:szCs w:val="18"/>
      <w:lang w:val="en-US" w:eastAsia="zh-CN" w:bidi="ar-SA"/>
    </w:rPr>
  </w:style>
  <w:style w:type="paragraph" w:customStyle="1" w:styleId="49">
    <w:name w:val="标准书眉_奇数页"/>
    <w:next w:val="1"/>
    <w:qFormat/>
    <w:uiPriority w:val="99"/>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50">
    <w:name w:val="章标题"/>
    <w:next w:val="27"/>
    <w:qFormat/>
    <w:uiPriority w:val="0"/>
    <w:pPr>
      <w:numPr>
        <w:ilvl w:val="0"/>
        <w:numId w:val="2"/>
      </w:numPr>
      <w:spacing w:beforeLines="100" w:afterLines="100"/>
      <w:jc w:val="both"/>
      <w:outlineLvl w:val="1"/>
    </w:pPr>
    <w:rPr>
      <w:rFonts w:ascii="黑体" w:hAnsi="Times New Roman" w:eastAsia="黑体" w:cs="Times New Roman"/>
      <w:sz w:val="21"/>
      <w:lang w:val="en-US" w:eastAsia="zh-CN" w:bidi="ar-SA"/>
    </w:rPr>
  </w:style>
  <w:style w:type="paragraph" w:customStyle="1" w:styleId="51">
    <w:name w:val="二级条标题"/>
    <w:basedOn w:val="47"/>
    <w:next w:val="27"/>
    <w:qFormat/>
    <w:uiPriority w:val="0"/>
    <w:pPr>
      <w:numPr>
        <w:ilvl w:val="2"/>
        <w:numId w:val="0"/>
      </w:numPr>
      <w:spacing w:before="50" w:after="50"/>
      <w:outlineLvl w:val="3"/>
    </w:pPr>
  </w:style>
  <w:style w:type="paragraph" w:customStyle="1" w:styleId="52">
    <w:name w:val="封面标准号2"/>
    <w:qFormat/>
    <w:uiPriority w:val="99"/>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53">
    <w:name w:val="列项——（一级）"/>
    <w:qFormat/>
    <w:uiPriority w:val="99"/>
    <w:pPr>
      <w:widowControl w:val="0"/>
      <w:numPr>
        <w:ilvl w:val="0"/>
        <w:numId w:val="3"/>
      </w:numPr>
      <w:jc w:val="both"/>
    </w:pPr>
    <w:rPr>
      <w:rFonts w:ascii="宋体" w:hAnsi="Times New Roman" w:eastAsia="宋体" w:cs="Times New Roman"/>
      <w:sz w:val="21"/>
      <w:lang w:val="en-US" w:eastAsia="zh-CN" w:bidi="ar-SA"/>
    </w:rPr>
  </w:style>
  <w:style w:type="paragraph" w:customStyle="1" w:styleId="54">
    <w:name w:val="列项●（二级）"/>
    <w:qFormat/>
    <w:uiPriority w:val="99"/>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55">
    <w:name w:val="目次、标准名称标题"/>
    <w:basedOn w:val="1"/>
    <w:next w:val="27"/>
    <w:qFormat/>
    <w:uiPriority w:val="99"/>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56">
    <w:name w:val="三级条标题"/>
    <w:basedOn w:val="51"/>
    <w:next w:val="27"/>
    <w:qFormat/>
    <w:uiPriority w:val="0"/>
    <w:pPr>
      <w:numPr>
        <w:ilvl w:val="3"/>
      </w:numPr>
      <w:outlineLvl w:val="4"/>
    </w:pPr>
  </w:style>
  <w:style w:type="paragraph" w:customStyle="1" w:styleId="57">
    <w:name w:val="示例"/>
    <w:next w:val="58"/>
    <w:qFormat/>
    <w:uiPriority w:val="99"/>
    <w:pPr>
      <w:widowControl w:val="0"/>
      <w:ind w:firstLine="363"/>
      <w:jc w:val="both"/>
    </w:pPr>
    <w:rPr>
      <w:rFonts w:ascii="宋体" w:hAnsi="Times New Roman" w:eastAsia="宋体" w:cs="Times New Roman"/>
      <w:sz w:val="18"/>
      <w:szCs w:val="18"/>
      <w:lang w:val="en-US" w:eastAsia="zh-CN" w:bidi="ar-SA"/>
    </w:rPr>
  </w:style>
  <w:style w:type="paragraph" w:customStyle="1" w:styleId="58">
    <w:name w:val="示例内容"/>
    <w:qFormat/>
    <w:uiPriority w:val="99"/>
    <w:pPr>
      <w:ind w:firstLine="200" w:firstLineChars="200"/>
    </w:pPr>
    <w:rPr>
      <w:rFonts w:ascii="宋体" w:hAnsi="Times New Roman" w:eastAsia="宋体" w:cs="Times New Roman"/>
      <w:sz w:val="18"/>
      <w:szCs w:val="18"/>
      <w:lang w:val="en-US" w:eastAsia="zh-CN" w:bidi="ar-SA"/>
    </w:rPr>
  </w:style>
  <w:style w:type="paragraph" w:customStyle="1" w:styleId="59">
    <w:name w:val="数字编号列项（二级）"/>
    <w:qFormat/>
    <w:uiPriority w:val="99"/>
    <w:pPr>
      <w:numPr>
        <w:ilvl w:val="1"/>
        <w:numId w:val="4"/>
      </w:numPr>
      <w:jc w:val="both"/>
    </w:pPr>
    <w:rPr>
      <w:rFonts w:ascii="宋体" w:hAnsi="Times New Roman" w:eastAsia="宋体" w:cs="Times New Roman"/>
      <w:sz w:val="21"/>
      <w:lang w:val="en-US" w:eastAsia="zh-CN" w:bidi="ar-SA"/>
    </w:rPr>
  </w:style>
  <w:style w:type="paragraph" w:customStyle="1" w:styleId="60">
    <w:name w:val="四级条标题"/>
    <w:basedOn w:val="56"/>
    <w:next w:val="27"/>
    <w:qFormat/>
    <w:uiPriority w:val="0"/>
    <w:pPr>
      <w:numPr>
        <w:ilvl w:val="4"/>
      </w:numPr>
      <w:outlineLvl w:val="5"/>
    </w:pPr>
  </w:style>
  <w:style w:type="paragraph" w:customStyle="1" w:styleId="61">
    <w:name w:val="五级条标题"/>
    <w:basedOn w:val="60"/>
    <w:next w:val="27"/>
    <w:qFormat/>
    <w:uiPriority w:val="0"/>
    <w:pPr>
      <w:numPr>
        <w:ilvl w:val="5"/>
      </w:numPr>
      <w:outlineLvl w:val="6"/>
    </w:pPr>
  </w:style>
  <w:style w:type="character" w:customStyle="1" w:styleId="62">
    <w:name w:val="页脚 字符"/>
    <w:basedOn w:val="38"/>
    <w:link w:val="21"/>
    <w:qFormat/>
    <w:locked/>
    <w:uiPriority w:val="99"/>
    <w:rPr>
      <w:rFonts w:cs="Times New Roman"/>
      <w:kern w:val="2"/>
      <w:sz w:val="18"/>
    </w:rPr>
  </w:style>
  <w:style w:type="character" w:customStyle="1" w:styleId="63">
    <w:name w:val="页眉 字符"/>
    <w:basedOn w:val="38"/>
    <w:link w:val="22"/>
    <w:qFormat/>
    <w:locked/>
    <w:uiPriority w:val="99"/>
    <w:rPr>
      <w:rFonts w:cs="Times New Roman"/>
      <w:kern w:val="2"/>
      <w:sz w:val="18"/>
    </w:rPr>
  </w:style>
  <w:style w:type="paragraph" w:customStyle="1" w:styleId="64">
    <w:name w:val="注："/>
    <w:next w:val="27"/>
    <w:qFormat/>
    <w:uiPriority w:val="99"/>
    <w:pPr>
      <w:widowControl w:val="0"/>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65">
    <w:name w:val="注×："/>
    <w:qFormat/>
    <w:uiPriority w:val="99"/>
    <w:pPr>
      <w:widowControl w:val="0"/>
      <w:autoSpaceDE w:val="0"/>
      <w:autoSpaceDN w:val="0"/>
      <w:ind w:left="811" w:hanging="448"/>
      <w:jc w:val="both"/>
    </w:pPr>
    <w:rPr>
      <w:rFonts w:ascii="宋体" w:hAnsi="Times New Roman" w:eastAsia="宋体" w:cs="Times New Roman"/>
      <w:sz w:val="18"/>
      <w:szCs w:val="18"/>
      <w:lang w:val="en-US" w:eastAsia="zh-CN" w:bidi="ar-SA"/>
    </w:rPr>
  </w:style>
  <w:style w:type="paragraph" w:customStyle="1" w:styleId="66">
    <w:name w:val="字母编号列项（一级）"/>
    <w:qFormat/>
    <w:uiPriority w:val="99"/>
    <w:pPr>
      <w:numPr>
        <w:ilvl w:val="0"/>
        <w:numId w:val="4"/>
      </w:numPr>
      <w:jc w:val="both"/>
    </w:pPr>
    <w:rPr>
      <w:rFonts w:ascii="宋体" w:hAnsi="Times New Roman" w:eastAsia="宋体" w:cs="Times New Roman"/>
      <w:sz w:val="21"/>
      <w:lang w:val="en-US" w:eastAsia="zh-CN" w:bidi="ar-SA"/>
    </w:rPr>
  </w:style>
  <w:style w:type="paragraph" w:customStyle="1" w:styleId="67">
    <w:name w:val="列项◆（三级）"/>
    <w:basedOn w:val="1"/>
    <w:qFormat/>
    <w:uiPriority w:val="99"/>
    <w:pPr>
      <w:numPr>
        <w:ilvl w:val="2"/>
        <w:numId w:val="3"/>
      </w:numPr>
    </w:pPr>
    <w:rPr>
      <w:rFonts w:ascii="宋体"/>
      <w:szCs w:val="21"/>
    </w:rPr>
  </w:style>
  <w:style w:type="paragraph" w:customStyle="1" w:styleId="68">
    <w:name w:val="编号列项（三级）"/>
    <w:qFormat/>
    <w:uiPriority w:val="99"/>
    <w:pPr>
      <w:numPr>
        <w:ilvl w:val="2"/>
        <w:numId w:val="4"/>
      </w:numPr>
    </w:pPr>
    <w:rPr>
      <w:rFonts w:ascii="宋体" w:hAnsi="Times New Roman" w:eastAsia="宋体" w:cs="Times New Roman"/>
      <w:sz w:val="21"/>
      <w:lang w:val="en-US" w:eastAsia="zh-CN" w:bidi="ar-SA"/>
    </w:rPr>
  </w:style>
  <w:style w:type="paragraph" w:customStyle="1" w:styleId="69">
    <w:name w:val="示例×："/>
    <w:basedOn w:val="50"/>
    <w:qFormat/>
    <w:uiPriority w:val="99"/>
    <w:pPr>
      <w:numPr>
        <w:numId w:val="0"/>
      </w:numPr>
      <w:spacing w:beforeLines="0" w:afterLines="0"/>
      <w:ind w:firstLine="363"/>
      <w:outlineLvl w:val="9"/>
    </w:pPr>
    <w:rPr>
      <w:rFonts w:ascii="宋体" w:eastAsia="宋体"/>
      <w:sz w:val="18"/>
      <w:szCs w:val="18"/>
    </w:rPr>
  </w:style>
  <w:style w:type="paragraph" w:customStyle="1" w:styleId="70">
    <w:name w:val="二级无"/>
    <w:basedOn w:val="51"/>
    <w:qFormat/>
    <w:uiPriority w:val="99"/>
    <w:pPr>
      <w:spacing w:beforeLines="0" w:afterLines="0"/>
    </w:pPr>
    <w:rPr>
      <w:rFonts w:ascii="宋体" w:eastAsia="宋体"/>
    </w:rPr>
  </w:style>
  <w:style w:type="paragraph" w:customStyle="1" w:styleId="71">
    <w:name w:val="注：（正文）"/>
    <w:basedOn w:val="64"/>
    <w:next w:val="27"/>
    <w:qFormat/>
    <w:uiPriority w:val="99"/>
  </w:style>
  <w:style w:type="paragraph" w:customStyle="1" w:styleId="72">
    <w:name w:val="注×：（正文）"/>
    <w:qFormat/>
    <w:uiPriority w:val="99"/>
    <w:pPr>
      <w:numPr>
        <w:ilvl w:val="0"/>
        <w:numId w:val="5"/>
      </w:numPr>
      <w:jc w:val="both"/>
    </w:pPr>
    <w:rPr>
      <w:rFonts w:ascii="宋体" w:hAnsi="Times New Roman" w:eastAsia="宋体" w:cs="Times New Roman"/>
      <w:sz w:val="18"/>
      <w:szCs w:val="18"/>
      <w:lang w:val="en-US" w:eastAsia="zh-CN" w:bidi="ar-SA"/>
    </w:rPr>
  </w:style>
  <w:style w:type="paragraph" w:customStyle="1" w:styleId="73">
    <w:name w:val="标准标志"/>
    <w:next w:val="1"/>
    <w:qFormat/>
    <w:uiPriority w:val="99"/>
    <w:pPr>
      <w:framePr w:w="2546" w:h="1389" w:hRule="exact" w:hSpace="181" w:vSpace="181" w:wrap="around" w:vAnchor="margin" w:hAnchor="margin" w:x="6522" w:y="398" w:anchorLock="1"/>
      <w:shd w:val="solid" w:color="FFFFFF" w:fill="FFFFFF"/>
      <w:spacing w:line="240" w:lineRule="atLeast"/>
      <w:jc w:val="right"/>
    </w:pPr>
    <w:rPr>
      <w:rFonts w:ascii="Times New Roman" w:hAnsi="Times New Roman" w:eastAsia="宋体" w:cs="Times New Roman"/>
      <w:b/>
      <w:w w:val="170"/>
      <w:sz w:val="96"/>
      <w:szCs w:val="96"/>
      <w:lang w:val="en-US" w:eastAsia="zh-CN" w:bidi="ar-SA"/>
    </w:rPr>
  </w:style>
  <w:style w:type="paragraph" w:customStyle="1" w:styleId="74">
    <w:name w:val="标准称谓"/>
    <w:next w:val="1"/>
    <w:qFormat/>
    <w:uiPriority w:val="99"/>
    <w:pPr>
      <w:framePr w:w="9639" w:h="624" w:hRule="exact" w:hSpace="181" w:vSpace="181" w:wrap="around" w:vAnchor="page" w:hAnchor="page" w:x="1419" w:y="2286" w:anchorLock="1"/>
      <w:widowControl w:val="0"/>
      <w:kinsoku w:val="0"/>
      <w:overflowPunct w:val="0"/>
      <w:autoSpaceDE w:val="0"/>
      <w:autoSpaceDN w:val="0"/>
      <w:spacing w:line="240" w:lineRule="atLeast"/>
      <w:jc w:val="distribute"/>
    </w:pPr>
    <w:rPr>
      <w:rFonts w:ascii="宋体" w:hAnsi="Times New Roman" w:eastAsia="宋体" w:cs="Times New Roman"/>
      <w:b/>
      <w:bCs/>
      <w:spacing w:val="20"/>
      <w:w w:val="148"/>
      <w:sz w:val="48"/>
      <w:lang w:val="en-US" w:eastAsia="zh-CN" w:bidi="ar-SA"/>
    </w:rPr>
  </w:style>
  <w:style w:type="paragraph" w:customStyle="1" w:styleId="75">
    <w:name w:val="标准书脚_偶数页"/>
    <w:qFormat/>
    <w:uiPriority w:val="99"/>
    <w:pPr>
      <w:spacing w:before="120"/>
      <w:ind w:left="221"/>
    </w:pPr>
    <w:rPr>
      <w:rFonts w:ascii="宋体" w:hAnsi="Times New Roman" w:eastAsia="宋体" w:cs="Times New Roman"/>
      <w:sz w:val="18"/>
      <w:szCs w:val="18"/>
      <w:lang w:val="en-US" w:eastAsia="zh-CN" w:bidi="ar-SA"/>
    </w:rPr>
  </w:style>
  <w:style w:type="paragraph" w:customStyle="1" w:styleId="76">
    <w:name w:val="标准书眉_偶数页"/>
    <w:basedOn w:val="49"/>
    <w:next w:val="1"/>
    <w:qFormat/>
    <w:uiPriority w:val="99"/>
    <w:pPr>
      <w:jc w:val="left"/>
    </w:pPr>
  </w:style>
  <w:style w:type="paragraph" w:customStyle="1" w:styleId="77">
    <w:name w:val="标准书眉一"/>
    <w:qFormat/>
    <w:uiPriority w:val="99"/>
    <w:pPr>
      <w:jc w:val="both"/>
    </w:pPr>
    <w:rPr>
      <w:rFonts w:ascii="Times New Roman" w:hAnsi="Times New Roman" w:eastAsia="宋体" w:cs="Times New Roman"/>
      <w:lang w:val="en-US" w:eastAsia="zh-CN" w:bidi="ar-SA"/>
    </w:rPr>
  </w:style>
  <w:style w:type="paragraph" w:customStyle="1" w:styleId="78">
    <w:name w:val="参考文献"/>
    <w:basedOn w:val="1"/>
    <w:next w:val="27"/>
    <w:qFormat/>
    <w:uiPriority w:val="99"/>
    <w:pPr>
      <w:keepNext/>
      <w:pageBreakBefore/>
      <w:widowControl/>
      <w:shd w:val="clear" w:color="FFFFFF" w:fill="FFFFFF"/>
      <w:spacing w:before="640" w:after="200"/>
      <w:jc w:val="center"/>
      <w:outlineLvl w:val="0"/>
    </w:pPr>
    <w:rPr>
      <w:rFonts w:ascii="黑体" w:eastAsia="黑体"/>
      <w:kern w:val="0"/>
      <w:szCs w:val="20"/>
    </w:rPr>
  </w:style>
  <w:style w:type="paragraph" w:customStyle="1" w:styleId="79">
    <w:name w:val="参考文献、索引标题"/>
    <w:basedOn w:val="1"/>
    <w:next w:val="27"/>
    <w:qFormat/>
    <w:uiPriority w:val="99"/>
    <w:pPr>
      <w:keepNext/>
      <w:pageBreakBefore/>
      <w:widowControl/>
      <w:shd w:val="clear" w:color="FFFFFF" w:fill="FFFFFF"/>
      <w:spacing w:before="640" w:after="200"/>
      <w:jc w:val="center"/>
      <w:outlineLvl w:val="0"/>
    </w:pPr>
    <w:rPr>
      <w:rFonts w:ascii="黑体" w:eastAsia="黑体"/>
      <w:kern w:val="0"/>
      <w:szCs w:val="20"/>
    </w:rPr>
  </w:style>
  <w:style w:type="character" w:customStyle="1" w:styleId="80">
    <w:name w:val="发布"/>
    <w:basedOn w:val="38"/>
    <w:qFormat/>
    <w:uiPriority w:val="99"/>
    <w:rPr>
      <w:rFonts w:ascii="黑体" w:eastAsia="黑体" w:cs="Times New Roman"/>
      <w:spacing w:val="85"/>
      <w:w w:val="100"/>
      <w:position w:val="3"/>
      <w:sz w:val="28"/>
      <w:szCs w:val="28"/>
    </w:rPr>
  </w:style>
  <w:style w:type="paragraph" w:customStyle="1" w:styleId="81">
    <w:name w:val="发布部门"/>
    <w:next w:val="27"/>
    <w:qFormat/>
    <w:uiPriority w:val="99"/>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82">
    <w:name w:val="发布日期"/>
    <w:qFormat/>
    <w:uiPriority w:val="99"/>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83">
    <w:name w:val="封面标准代替信息"/>
    <w:qFormat/>
    <w:uiPriority w:val="99"/>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84">
    <w:name w:val="封面标准号1"/>
    <w:qFormat/>
    <w:uiPriority w:val="99"/>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85">
    <w:name w:val="封面标准名称"/>
    <w:qFormat/>
    <w:uiPriority w:val="99"/>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86">
    <w:name w:val="封面标准英文名称"/>
    <w:basedOn w:val="85"/>
    <w:qFormat/>
    <w:uiPriority w:val="99"/>
    <w:pPr>
      <w:framePr w:wrap="around"/>
      <w:spacing w:before="370" w:line="400" w:lineRule="exact"/>
    </w:pPr>
    <w:rPr>
      <w:rFonts w:ascii="Times New Roman"/>
      <w:sz w:val="28"/>
      <w:szCs w:val="28"/>
    </w:rPr>
  </w:style>
  <w:style w:type="paragraph" w:customStyle="1" w:styleId="87">
    <w:name w:val="封面一致性程度标识"/>
    <w:basedOn w:val="86"/>
    <w:qFormat/>
    <w:uiPriority w:val="99"/>
    <w:pPr>
      <w:framePr w:wrap="around"/>
      <w:spacing w:before="440"/>
    </w:pPr>
    <w:rPr>
      <w:rFonts w:ascii="宋体" w:eastAsia="宋体"/>
    </w:rPr>
  </w:style>
  <w:style w:type="paragraph" w:customStyle="1" w:styleId="88">
    <w:name w:val="封面标准文稿类别"/>
    <w:basedOn w:val="87"/>
    <w:qFormat/>
    <w:uiPriority w:val="99"/>
    <w:pPr>
      <w:framePr w:wrap="around"/>
      <w:spacing w:after="160" w:line="240" w:lineRule="auto"/>
    </w:pPr>
    <w:rPr>
      <w:sz w:val="24"/>
    </w:rPr>
  </w:style>
  <w:style w:type="paragraph" w:customStyle="1" w:styleId="89">
    <w:name w:val="封面标准文稿编辑信息"/>
    <w:basedOn w:val="88"/>
    <w:qFormat/>
    <w:uiPriority w:val="99"/>
    <w:pPr>
      <w:framePr w:wrap="around"/>
      <w:spacing w:before="180" w:line="180" w:lineRule="exact"/>
    </w:pPr>
    <w:rPr>
      <w:sz w:val="21"/>
    </w:rPr>
  </w:style>
  <w:style w:type="paragraph" w:customStyle="1" w:styleId="90">
    <w:name w:val="封面正文"/>
    <w:qFormat/>
    <w:uiPriority w:val="99"/>
    <w:pPr>
      <w:jc w:val="both"/>
    </w:pPr>
    <w:rPr>
      <w:rFonts w:ascii="Times New Roman" w:hAnsi="Times New Roman" w:eastAsia="宋体" w:cs="Times New Roman"/>
      <w:lang w:val="en-US" w:eastAsia="zh-CN" w:bidi="ar-SA"/>
    </w:rPr>
  </w:style>
  <w:style w:type="paragraph" w:customStyle="1" w:styleId="91">
    <w:name w:val="附录标识"/>
    <w:basedOn w:val="1"/>
    <w:next w:val="27"/>
    <w:qFormat/>
    <w:uiPriority w:val="99"/>
    <w:pPr>
      <w:keepNext/>
      <w:widowControl/>
      <w:numPr>
        <w:ilvl w:val="0"/>
        <w:numId w:val="6"/>
      </w:numPr>
      <w:shd w:val="clear" w:color="FFFFFF" w:fill="FFFFFF"/>
      <w:tabs>
        <w:tab w:val="left" w:pos="6405"/>
      </w:tabs>
      <w:spacing w:before="640" w:after="280"/>
      <w:jc w:val="center"/>
      <w:outlineLvl w:val="0"/>
    </w:pPr>
    <w:rPr>
      <w:rFonts w:ascii="黑体" w:eastAsia="黑体"/>
      <w:kern w:val="0"/>
      <w:szCs w:val="20"/>
    </w:rPr>
  </w:style>
  <w:style w:type="paragraph" w:customStyle="1" w:styleId="92">
    <w:name w:val="附录标题"/>
    <w:basedOn w:val="27"/>
    <w:next w:val="27"/>
    <w:qFormat/>
    <w:uiPriority w:val="99"/>
    <w:pPr>
      <w:ind w:firstLine="0" w:firstLineChars="0"/>
      <w:jc w:val="center"/>
    </w:pPr>
    <w:rPr>
      <w:rFonts w:ascii="黑体" w:eastAsia="黑体"/>
    </w:rPr>
  </w:style>
  <w:style w:type="paragraph" w:customStyle="1" w:styleId="93">
    <w:name w:val="附录表标号"/>
    <w:basedOn w:val="1"/>
    <w:next w:val="27"/>
    <w:qFormat/>
    <w:uiPriority w:val="99"/>
    <w:pPr>
      <w:numPr>
        <w:ilvl w:val="0"/>
        <w:numId w:val="7"/>
      </w:numPr>
      <w:spacing w:line="14" w:lineRule="exact"/>
      <w:ind w:left="811" w:hanging="448"/>
      <w:jc w:val="center"/>
      <w:outlineLvl w:val="0"/>
    </w:pPr>
    <w:rPr>
      <w:color w:val="FFFFFF"/>
    </w:rPr>
  </w:style>
  <w:style w:type="paragraph" w:customStyle="1" w:styleId="94">
    <w:name w:val="附录表标题"/>
    <w:basedOn w:val="1"/>
    <w:next w:val="27"/>
    <w:qFormat/>
    <w:uiPriority w:val="99"/>
    <w:pPr>
      <w:numPr>
        <w:ilvl w:val="1"/>
        <w:numId w:val="7"/>
      </w:numPr>
      <w:tabs>
        <w:tab w:val="left" w:pos="180"/>
      </w:tabs>
      <w:spacing w:beforeLines="50" w:afterLines="50"/>
      <w:jc w:val="center"/>
    </w:pPr>
    <w:rPr>
      <w:rFonts w:ascii="黑体" w:eastAsia="黑体"/>
      <w:szCs w:val="21"/>
    </w:rPr>
  </w:style>
  <w:style w:type="paragraph" w:customStyle="1" w:styleId="95">
    <w:name w:val="附录二级条标题"/>
    <w:basedOn w:val="1"/>
    <w:next w:val="27"/>
    <w:qFormat/>
    <w:uiPriority w:val="99"/>
    <w:pPr>
      <w:widowControl/>
      <w:numPr>
        <w:ilvl w:val="3"/>
        <w:numId w:val="6"/>
      </w:numPr>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96">
    <w:name w:val="附录二级无"/>
    <w:basedOn w:val="95"/>
    <w:qFormat/>
    <w:uiPriority w:val="99"/>
    <w:pPr>
      <w:spacing w:beforeLines="0" w:afterLines="0"/>
    </w:pPr>
    <w:rPr>
      <w:rFonts w:ascii="宋体" w:eastAsia="宋体"/>
      <w:szCs w:val="21"/>
    </w:rPr>
  </w:style>
  <w:style w:type="paragraph" w:customStyle="1" w:styleId="97">
    <w:name w:val="附录公式"/>
    <w:basedOn w:val="27"/>
    <w:next w:val="27"/>
    <w:link w:val="98"/>
    <w:qFormat/>
    <w:uiPriority w:val="99"/>
  </w:style>
  <w:style w:type="character" w:customStyle="1" w:styleId="98">
    <w:name w:val="附录公式 Char"/>
    <w:basedOn w:val="46"/>
    <w:link w:val="97"/>
    <w:qFormat/>
    <w:locked/>
    <w:uiPriority w:val="99"/>
    <w:rPr>
      <w:rFonts w:ascii="宋体" w:cs="Times New Roman"/>
      <w:sz w:val="21"/>
      <w:lang w:val="en-US" w:eastAsia="zh-CN" w:bidi="ar-SA"/>
    </w:rPr>
  </w:style>
  <w:style w:type="paragraph" w:customStyle="1" w:styleId="99">
    <w:name w:val="附录公式编号制表符"/>
    <w:basedOn w:val="1"/>
    <w:next w:val="27"/>
    <w:qFormat/>
    <w:uiPriority w:val="99"/>
    <w:pPr>
      <w:widowControl/>
      <w:tabs>
        <w:tab w:val="center" w:pos="4201"/>
        <w:tab w:val="right" w:leader="dot" w:pos="9298"/>
      </w:tabs>
      <w:autoSpaceDE w:val="0"/>
      <w:autoSpaceDN w:val="0"/>
    </w:pPr>
    <w:rPr>
      <w:rFonts w:ascii="宋体"/>
      <w:kern w:val="0"/>
      <w:szCs w:val="20"/>
    </w:rPr>
  </w:style>
  <w:style w:type="paragraph" w:customStyle="1" w:styleId="100">
    <w:name w:val="附录三级条标题"/>
    <w:basedOn w:val="95"/>
    <w:next w:val="27"/>
    <w:qFormat/>
    <w:uiPriority w:val="99"/>
    <w:pPr>
      <w:numPr>
        <w:ilvl w:val="4"/>
      </w:numPr>
      <w:outlineLvl w:val="4"/>
    </w:pPr>
  </w:style>
  <w:style w:type="paragraph" w:customStyle="1" w:styleId="101">
    <w:name w:val="附录三级无"/>
    <w:basedOn w:val="100"/>
    <w:qFormat/>
    <w:uiPriority w:val="99"/>
    <w:pPr>
      <w:spacing w:beforeLines="0" w:afterLines="0"/>
    </w:pPr>
    <w:rPr>
      <w:rFonts w:ascii="宋体" w:eastAsia="宋体"/>
      <w:szCs w:val="21"/>
    </w:rPr>
  </w:style>
  <w:style w:type="paragraph" w:customStyle="1" w:styleId="102">
    <w:name w:val="附录数字编号列项（二级）"/>
    <w:qFormat/>
    <w:uiPriority w:val="99"/>
    <w:pPr>
      <w:numPr>
        <w:ilvl w:val="1"/>
        <w:numId w:val="8"/>
      </w:numPr>
    </w:pPr>
    <w:rPr>
      <w:rFonts w:ascii="宋体" w:hAnsi="Times New Roman" w:eastAsia="宋体" w:cs="Times New Roman"/>
      <w:sz w:val="21"/>
      <w:lang w:val="en-US" w:eastAsia="zh-CN" w:bidi="ar-SA"/>
    </w:rPr>
  </w:style>
  <w:style w:type="paragraph" w:customStyle="1" w:styleId="103">
    <w:name w:val="附录四级条标题"/>
    <w:basedOn w:val="100"/>
    <w:next w:val="27"/>
    <w:qFormat/>
    <w:uiPriority w:val="99"/>
    <w:pPr>
      <w:numPr>
        <w:ilvl w:val="5"/>
      </w:numPr>
      <w:outlineLvl w:val="5"/>
    </w:pPr>
  </w:style>
  <w:style w:type="paragraph" w:customStyle="1" w:styleId="104">
    <w:name w:val="附录四级无"/>
    <w:basedOn w:val="103"/>
    <w:qFormat/>
    <w:uiPriority w:val="99"/>
    <w:pPr>
      <w:spacing w:beforeLines="0" w:afterLines="0"/>
    </w:pPr>
    <w:rPr>
      <w:rFonts w:ascii="宋体" w:eastAsia="宋体"/>
      <w:szCs w:val="21"/>
    </w:rPr>
  </w:style>
  <w:style w:type="paragraph" w:customStyle="1" w:styleId="105">
    <w:name w:val="附录图标号"/>
    <w:basedOn w:val="1"/>
    <w:qFormat/>
    <w:uiPriority w:val="99"/>
    <w:pPr>
      <w:keepNext/>
      <w:pageBreakBefore/>
      <w:widowControl/>
      <w:numPr>
        <w:ilvl w:val="0"/>
        <w:numId w:val="9"/>
      </w:numPr>
      <w:spacing w:line="14" w:lineRule="exact"/>
      <w:ind w:firstLine="363"/>
      <w:jc w:val="center"/>
      <w:outlineLvl w:val="0"/>
    </w:pPr>
    <w:rPr>
      <w:color w:val="FFFFFF"/>
    </w:rPr>
  </w:style>
  <w:style w:type="paragraph" w:customStyle="1" w:styleId="106">
    <w:name w:val="附录图标题"/>
    <w:basedOn w:val="1"/>
    <w:next w:val="27"/>
    <w:qFormat/>
    <w:uiPriority w:val="99"/>
    <w:pPr>
      <w:numPr>
        <w:ilvl w:val="1"/>
        <w:numId w:val="9"/>
      </w:numPr>
      <w:tabs>
        <w:tab w:val="left" w:pos="363"/>
      </w:tabs>
      <w:spacing w:beforeLines="50" w:afterLines="50"/>
      <w:jc w:val="center"/>
    </w:pPr>
    <w:rPr>
      <w:rFonts w:ascii="黑体" w:eastAsia="黑体"/>
      <w:szCs w:val="21"/>
    </w:rPr>
  </w:style>
  <w:style w:type="paragraph" w:customStyle="1" w:styleId="107">
    <w:name w:val="附录五级条标题"/>
    <w:basedOn w:val="103"/>
    <w:next w:val="27"/>
    <w:qFormat/>
    <w:uiPriority w:val="99"/>
    <w:pPr>
      <w:numPr>
        <w:ilvl w:val="6"/>
      </w:numPr>
      <w:outlineLvl w:val="6"/>
    </w:pPr>
  </w:style>
  <w:style w:type="paragraph" w:customStyle="1" w:styleId="108">
    <w:name w:val="附录五级无"/>
    <w:basedOn w:val="107"/>
    <w:qFormat/>
    <w:uiPriority w:val="99"/>
    <w:pPr>
      <w:spacing w:beforeLines="0" w:afterLines="0"/>
    </w:pPr>
    <w:rPr>
      <w:rFonts w:ascii="宋体" w:eastAsia="宋体"/>
      <w:szCs w:val="21"/>
    </w:rPr>
  </w:style>
  <w:style w:type="paragraph" w:customStyle="1" w:styleId="109">
    <w:name w:val="附录章标题"/>
    <w:next w:val="27"/>
    <w:qFormat/>
    <w:uiPriority w:val="99"/>
    <w:pPr>
      <w:numPr>
        <w:ilvl w:val="1"/>
        <w:numId w:val="6"/>
      </w:numPr>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10">
    <w:name w:val="附录一级条标题"/>
    <w:basedOn w:val="109"/>
    <w:next w:val="27"/>
    <w:qFormat/>
    <w:uiPriority w:val="99"/>
    <w:pPr>
      <w:numPr>
        <w:ilvl w:val="2"/>
      </w:numPr>
      <w:autoSpaceDN w:val="0"/>
      <w:spacing w:beforeLines="50" w:afterLines="50"/>
      <w:outlineLvl w:val="2"/>
    </w:pPr>
  </w:style>
  <w:style w:type="paragraph" w:customStyle="1" w:styleId="111">
    <w:name w:val="附录一级无"/>
    <w:basedOn w:val="110"/>
    <w:qFormat/>
    <w:uiPriority w:val="99"/>
    <w:pPr>
      <w:spacing w:beforeLines="0" w:afterLines="0"/>
    </w:pPr>
    <w:rPr>
      <w:rFonts w:ascii="宋体" w:eastAsia="宋体"/>
      <w:szCs w:val="21"/>
    </w:rPr>
  </w:style>
  <w:style w:type="paragraph" w:customStyle="1" w:styleId="112">
    <w:name w:val="附录字母编号列项（一级）"/>
    <w:qFormat/>
    <w:uiPriority w:val="99"/>
    <w:pPr>
      <w:numPr>
        <w:ilvl w:val="0"/>
        <w:numId w:val="8"/>
      </w:numPr>
    </w:pPr>
    <w:rPr>
      <w:rFonts w:ascii="宋体" w:hAnsi="Times New Roman" w:eastAsia="宋体" w:cs="Times New Roman"/>
      <w:sz w:val="21"/>
      <w:lang w:val="en-US" w:eastAsia="zh-CN" w:bidi="ar-SA"/>
    </w:rPr>
  </w:style>
  <w:style w:type="character" w:customStyle="1" w:styleId="113">
    <w:name w:val="脚注文本 字符"/>
    <w:basedOn w:val="38"/>
    <w:link w:val="28"/>
    <w:qFormat/>
    <w:locked/>
    <w:uiPriority w:val="99"/>
    <w:rPr>
      <w:rFonts w:ascii="宋体"/>
      <w:sz w:val="18"/>
      <w:szCs w:val="18"/>
    </w:rPr>
  </w:style>
  <w:style w:type="paragraph" w:customStyle="1" w:styleId="114">
    <w:name w:val="列项说明"/>
    <w:basedOn w:val="1"/>
    <w:qFormat/>
    <w:uiPriority w:val="99"/>
    <w:pPr>
      <w:adjustRightInd w:val="0"/>
      <w:spacing w:line="320" w:lineRule="exact"/>
      <w:ind w:left="400" w:leftChars="200" w:hanging="200" w:hangingChars="200"/>
      <w:jc w:val="left"/>
      <w:textAlignment w:val="baseline"/>
    </w:pPr>
    <w:rPr>
      <w:rFonts w:ascii="宋体"/>
      <w:kern w:val="0"/>
      <w:szCs w:val="20"/>
    </w:rPr>
  </w:style>
  <w:style w:type="paragraph" w:customStyle="1" w:styleId="115">
    <w:name w:val="列项说明数字编号"/>
    <w:qFormat/>
    <w:uiPriority w:val="99"/>
    <w:pPr>
      <w:ind w:left="600" w:leftChars="400" w:hanging="200" w:hangingChars="200"/>
    </w:pPr>
    <w:rPr>
      <w:rFonts w:ascii="宋体" w:hAnsi="Times New Roman" w:eastAsia="宋体" w:cs="Times New Roman"/>
      <w:sz w:val="21"/>
      <w:lang w:val="en-US" w:eastAsia="zh-CN" w:bidi="ar-SA"/>
    </w:rPr>
  </w:style>
  <w:style w:type="paragraph" w:customStyle="1" w:styleId="116">
    <w:name w:val="目次、索引正文"/>
    <w:qFormat/>
    <w:uiPriority w:val="99"/>
    <w:pPr>
      <w:spacing w:line="320" w:lineRule="exact"/>
      <w:jc w:val="both"/>
    </w:pPr>
    <w:rPr>
      <w:rFonts w:ascii="宋体" w:hAnsi="Times New Roman" w:eastAsia="宋体" w:cs="Times New Roman"/>
      <w:sz w:val="21"/>
      <w:lang w:val="en-US" w:eastAsia="zh-CN" w:bidi="ar-SA"/>
    </w:rPr>
  </w:style>
  <w:style w:type="paragraph" w:customStyle="1" w:styleId="117">
    <w:name w:val="其他标准标志"/>
    <w:basedOn w:val="73"/>
    <w:qFormat/>
    <w:uiPriority w:val="99"/>
    <w:pPr>
      <w:framePr w:w="6101" w:wrap="around" w:vAnchor="page" w:hAnchor="page" w:x="4673" w:y="942"/>
    </w:pPr>
    <w:rPr>
      <w:w w:val="130"/>
    </w:rPr>
  </w:style>
  <w:style w:type="paragraph" w:customStyle="1" w:styleId="118">
    <w:name w:val="其他标准称谓"/>
    <w:next w:val="1"/>
    <w:qFormat/>
    <w:uiPriority w:val="99"/>
    <w:pPr>
      <w:framePr w:hSpace="181" w:vSpace="181" w:wrap="around" w:vAnchor="page" w:hAnchor="page" w:x="1419" w:y="2286" w:anchorLock="1"/>
      <w:spacing w:line="240" w:lineRule="atLeast"/>
      <w:jc w:val="distribute"/>
    </w:pPr>
    <w:rPr>
      <w:rFonts w:ascii="黑体" w:hAnsi="宋体" w:eastAsia="黑体" w:cs="Times New Roman"/>
      <w:spacing w:val="-40"/>
      <w:sz w:val="48"/>
      <w:szCs w:val="52"/>
      <w:lang w:val="en-US" w:eastAsia="zh-CN" w:bidi="ar-SA"/>
    </w:rPr>
  </w:style>
  <w:style w:type="paragraph" w:customStyle="1" w:styleId="119">
    <w:name w:val="其他发布部门"/>
    <w:basedOn w:val="81"/>
    <w:qFormat/>
    <w:uiPriority w:val="99"/>
    <w:pPr>
      <w:framePr w:wrap="around" w:y="15310"/>
      <w:spacing w:line="240" w:lineRule="atLeast"/>
    </w:pPr>
    <w:rPr>
      <w:rFonts w:ascii="黑体" w:eastAsia="黑体"/>
      <w:b w:val="0"/>
    </w:rPr>
  </w:style>
  <w:style w:type="paragraph" w:customStyle="1" w:styleId="120">
    <w:name w:val="前言、引言标题"/>
    <w:next w:val="27"/>
    <w:qFormat/>
    <w:uiPriority w:val="99"/>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21">
    <w:name w:val="三级无"/>
    <w:basedOn w:val="56"/>
    <w:qFormat/>
    <w:uiPriority w:val="99"/>
    <w:pPr>
      <w:spacing w:beforeLines="0" w:afterLines="0"/>
    </w:pPr>
    <w:rPr>
      <w:rFonts w:ascii="宋体" w:eastAsia="宋体"/>
    </w:rPr>
  </w:style>
  <w:style w:type="paragraph" w:customStyle="1" w:styleId="122">
    <w:name w:val="实施日期"/>
    <w:basedOn w:val="82"/>
    <w:qFormat/>
    <w:uiPriority w:val="99"/>
    <w:pPr>
      <w:framePr w:wrap="around" w:vAnchor="page" w:hAnchor="text"/>
      <w:jc w:val="right"/>
    </w:pPr>
  </w:style>
  <w:style w:type="paragraph" w:customStyle="1" w:styleId="123">
    <w:name w:val="示例后文字"/>
    <w:basedOn w:val="27"/>
    <w:next w:val="27"/>
    <w:qFormat/>
    <w:uiPriority w:val="99"/>
    <w:pPr>
      <w:ind w:firstLine="360"/>
    </w:pPr>
    <w:rPr>
      <w:sz w:val="18"/>
    </w:rPr>
  </w:style>
  <w:style w:type="paragraph" w:customStyle="1" w:styleId="124">
    <w:name w:val="首示例"/>
    <w:next w:val="27"/>
    <w:link w:val="125"/>
    <w:qFormat/>
    <w:uiPriority w:val="99"/>
    <w:pPr>
      <w:tabs>
        <w:tab w:val="left" w:pos="360"/>
      </w:tabs>
    </w:pPr>
    <w:rPr>
      <w:rFonts w:ascii="宋体" w:hAnsi="宋体" w:eastAsia="宋体" w:cs="Times New Roman"/>
      <w:kern w:val="2"/>
      <w:sz w:val="18"/>
      <w:szCs w:val="18"/>
      <w:lang w:val="en-US" w:eastAsia="zh-CN" w:bidi="ar-SA"/>
    </w:rPr>
  </w:style>
  <w:style w:type="character" w:customStyle="1" w:styleId="125">
    <w:name w:val="首示例 Char"/>
    <w:basedOn w:val="38"/>
    <w:link w:val="124"/>
    <w:qFormat/>
    <w:locked/>
    <w:uiPriority w:val="99"/>
    <w:rPr>
      <w:rFonts w:ascii="宋体" w:eastAsia="宋体" w:cs="Times New Roman"/>
      <w:kern w:val="2"/>
      <w:sz w:val="18"/>
      <w:szCs w:val="18"/>
      <w:lang w:val="en-US" w:eastAsia="zh-CN" w:bidi="ar-SA"/>
    </w:rPr>
  </w:style>
  <w:style w:type="paragraph" w:customStyle="1" w:styleId="126">
    <w:name w:val="四级无"/>
    <w:basedOn w:val="60"/>
    <w:qFormat/>
    <w:uiPriority w:val="99"/>
    <w:pPr>
      <w:spacing w:beforeLines="0" w:afterLines="0"/>
    </w:pPr>
    <w:rPr>
      <w:rFonts w:ascii="宋体" w:eastAsia="宋体"/>
    </w:rPr>
  </w:style>
  <w:style w:type="paragraph" w:customStyle="1" w:styleId="127">
    <w:name w:val="条文脚注"/>
    <w:basedOn w:val="28"/>
    <w:qFormat/>
    <w:uiPriority w:val="99"/>
    <w:pPr>
      <w:numPr>
        <w:numId w:val="0"/>
      </w:numPr>
      <w:jc w:val="both"/>
    </w:pPr>
  </w:style>
  <w:style w:type="paragraph" w:customStyle="1" w:styleId="128">
    <w:name w:val="图标脚注说明"/>
    <w:basedOn w:val="27"/>
    <w:qFormat/>
    <w:uiPriority w:val="99"/>
    <w:pPr>
      <w:ind w:left="840" w:hanging="420" w:firstLineChars="0"/>
    </w:pPr>
    <w:rPr>
      <w:sz w:val="18"/>
      <w:szCs w:val="18"/>
    </w:rPr>
  </w:style>
  <w:style w:type="paragraph" w:customStyle="1" w:styleId="129">
    <w:name w:val="图表脚注说明"/>
    <w:basedOn w:val="1"/>
    <w:qFormat/>
    <w:uiPriority w:val="99"/>
    <w:pPr>
      <w:ind w:left="544" w:hanging="181"/>
    </w:pPr>
    <w:rPr>
      <w:rFonts w:ascii="宋体"/>
      <w:sz w:val="18"/>
      <w:szCs w:val="18"/>
    </w:rPr>
  </w:style>
  <w:style w:type="paragraph" w:customStyle="1" w:styleId="130">
    <w:name w:val="图的脚注"/>
    <w:next w:val="27"/>
    <w:qFormat/>
    <w:uiPriority w:val="99"/>
    <w:pPr>
      <w:widowControl w:val="0"/>
      <w:ind w:left="840" w:leftChars="200" w:hanging="420" w:hangingChars="200"/>
      <w:jc w:val="both"/>
    </w:pPr>
    <w:rPr>
      <w:rFonts w:ascii="宋体" w:hAnsi="Times New Roman" w:eastAsia="宋体" w:cs="Times New Roman"/>
      <w:sz w:val="18"/>
      <w:lang w:val="en-US" w:eastAsia="zh-CN" w:bidi="ar-SA"/>
    </w:rPr>
  </w:style>
  <w:style w:type="character" w:customStyle="1" w:styleId="131">
    <w:name w:val="尾注文本 字符"/>
    <w:basedOn w:val="38"/>
    <w:link w:val="19"/>
    <w:semiHidden/>
    <w:qFormat/>
    <w:locked/>
    <w:uiPriority w:val="99"/>
    <w:rPr>
      <w:rFonts w:cs="Times New Roman"/>
      <w:sz w:val="24"/>
      <w:szCs w:val="24"/>
    </w:rPr>
  </w:style>
  <w:style w:type="character" w:customStyle="1" w:styleId="132">
    <w:name w:val="文档结构图 字符"/>
    <w:basedOn w:val="38"/>
    <w:link w:val="9"/>
    <w:semiHidden/>
    <w:qFormat/>
    <w:locked/>
    <w:uiPriority w:val="99"/>
    <w:rPr>
      <w:rFonts w:cs="Times New Roman"/>
      <w:sz w:val="2"/>
    </w:rPr>
  </w:style>
  <w:style w:type="paragraph" w:customStyle="1" w:styleId="133">
    <w:name w:val="文献分类号"/>
    <w:qFormat/>
    <w:uiPriority w:val="99"/>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34">
    <w:name w:val="五级无"/>
    <w:basedOn w:val="61"/>
    <w:qFormat/>
    <w:uiPriority w:val="99"/>
    <w:pPr>
      <w:spacing w:beforeLines="0" w:afterLines="0"/>
    </w:pPr>
    <w:rPr>
      <w:rFonts w:ascii="宋体" w:eastAsia="宋体"/>
    </w:rPr>
  </w:style>
  <w:style w:type="paragraph" w:customStyle="1" w:styleId="135">
    <w:name w:val="一级无"/>
    <w:basedOn w:val="47"/>
    <w:qFormat/>
    <w:uiPriority w:val="99"/>
    <w:pPr>
      <w:spacing w:beforeLines="0" w:afterLines="0"/>
    </w:pPr>
    <w:rPr>
      <w:rFonts w:ascii="宋体" w:eastAsia="宋体"/>
    </w:rPr>
  </w:style>
  <w:style w:type="paragraph" w:customStyle="1" w:styleId="136">
    <w:name w:val="正文表标题"/>
    <w:next w:val="27"/>
    <w:qFormat/>
    <w:uiPriority w:val="0"/>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37">
    <w:name w:val="正文公式编号制表符"/>
    <w:basedOn w:val="27"/>
    <w:next w:val="27"/>
    <w:qFormat/>
    <w:uiPriority w:val="99"/>
    <w:pPr>
      <w:ind w:firstLine="0" w:firstLineChars="0"/>
    </w:pPr>
  </w:style>
  <w:style w:type="paragraph" w:customStyle="1" w:styleId="138">
    <w:name w:val="正文图标题"/>
    <w:next w:val="27"/>
    <w:qFormat/>
    <w:uiPriority w:val="99"/>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39">
    <w:name w:val="终结线"/>
    <w:basedOn w:val="1"/>
    <w:qFormat/>
    <w:uiPriority w:val="99"/>
    <w:pPr>
      <w:framePr w:hSpace="181" w:vSpace="181" w:wrap="around" w:vAnchor="text" w:hAnchor="margin" w:xAlign="center" w:y="285"/>
    </w:pPr>
  </w:style>
  <w:style w:type="paragraph" w:customStyle="1" w:styleId="140">
    <w:name w:val="其他发布日期"/>
    <w:basedOn w:val="82"/>
    <w:qFormat/>
    <w:uiPriority w:val="99"/>
    <w:pPr>
      <w:framePr w:wrap="around" w:vAnchor="page" w:hAnchor="text" w:x="1419"/>
    </w:pPr>
  </w:style>
  <w:style w:type="paragraph" w:customStyle="1" w:styleId="141">
    <w:name w:val="其他实施日期"/>
    <w:basedOn w:val="122"/>
    <w:qFormat/>
    <w:uiPriority w:val="99"/>
    <w:pPr>
      <w:framePr w:wrap="around"/>
    </w:pPr>
  </w:style>
  <w:style w:type="paragraph" w:customStyle="1" w:styleId="142">
    <w:name w:val="封面标准名称2"/>
    <w:basedOn w:val="85"/>
    <w:qFormat/>
    <w:uiPriority w:val="99"/>
    <w:pPr>
      <w:framePr w:wrap="around" w:y="4469"/>
      <w:spacing w:beforeLines="630"/>
    </w:pPr>
  </w:style>
  <w:style w:type="paragraph" w:customStyle="1" w:styleId="143">
    <w:name w:val="封面标准英文名称2"/>
    <w:basedOn w:val="86"/>
    <w:qFormat/>
    <w:uiPriority w:val="99"/>
    <w:pPr>
      <w:framePr w:wrap="around" w:y="4469"/>
    </w:pPr>
  </w:style>
  <w:style w:type="paragraph" w:customStyle="1" w:styleId="144">
    <w:name w:val="封面一致性程度标识2"/>
    <w:basedOn w:val="87"/>
    <w:qFormat/>
    <w:uiPriority w:val="99"/>
    <w:pPr>
      <w:framePr w:wrap="around" w:y="4469"/>
    </w:pPr>
  </w:style>
  <w:style w:type="paragraph" w:customStyle="1" w:styleId="145">
    <w:name w:val="封面标准文稿类别2"/>
    <w:basedOn w:val="88"/>
    <w:qFormat/>
    <w:uiPriority w:val="99"/>
    <w:pPr>
      <w:framePr w:wrap="around" w:y="4469"/>
    </w:pPr>
  </w:style>
  <w:style w:type="paragraph" w:customStyle="1" w:styleId="146">
    <w:name w:val="封面标准文稿编辑信息2"/>
    <w:basedOn w:val="89"/>
    <w:qFormat/>
    <w:uiPriority w:val="99"/>
    <w:pPr>
      <w:framePr w:wrap="around" w:y="4469"/>
    </w:pPr>
  </w:style>
  <w:style w:type="character" w:customStyle="1" w:styleId="147">
    <w:name w:val="批注框文本 字符"/>
    <w:basedOn w:val="38"/>
    <w:link w:val="20"/>
    <w:qFormat/>
    <w:locked/>
    <w:uiPriority w:val="99"/>
    <w:rPr>
      <w:rFonts w:cs="Times New Roman"/>
      <w:kern w:val="2"/>
      <w:sz w:val="18"/>
      <w:szCs w:val="18"/>
    </w:rPr>
  </w:style>
  <w:style w:type="paragraph" w:customStyle="1" w:styleId="148">
    <w:name w:val="Default"/>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49">
    <w:name w:val="日期 字符"/>
    <w:basedOn w:val="38"/>
    <w:link w:val="18"/>
    <w:qFormat/>
    <w:locked/>
    <w:uiPriority w:val="99"/>
    <w:rPr>
      <w:rFonts w:cs="Times New Roman"/>
      <w:kern w:val="2"/>
      <w:sz w:val="24"/>
      <w:szCs w:val="24"/>
    </w:rPr>
  </w:style>
  <w:style w:type="character" w:customStyle="1" w:styleId="150">
    <w:name w:val="批注文字 字符"/>
    <w:basedOn w:val="38"/>
    <w:link w:val="10"/>
    <w:semiHidden/>
    <w:qFormat/>
    <w:locked/>
    <w:uiPriority w:val="99"/>
    <w:rPr>
      <w:rFonts w:cs="Times New Roman"/>
      <w:kern w:val="2"/>
      <w:sz w:val="24"/>
      <w:szCs w:val="24"/>
    </w:rPr>
  </w:style>
  <w:style w:type="character" w:customStyle="1" w:styleId="151">
    <w:name w:val="批注主题 字符"/>
    <w:basedOn w:val="150"/>
    <w:link w:val="35"/>
    <w:semiHidden/>
    <w:qFormat/>
    <w:locked/>
    <w:uiPriority w:val="99"/>
    <w:rPr>
      <w:rFonts w:cs="Times New Roman"/>
      <w:b/>
      <w:bCs/>
      <w:kern w:val="2"/>
      <w:sz w:val="24"/>
      <w:szCs w:val="24"/>
    </w:rPr>
  </w:style>
  <w:style w:type="paragraph" w:styleId="152">
    <w:name w:val="List Paragraph"/>
    <w:basedOn w:val="1"/>
    <w:qFormat/>
    <w:uiPriority w:val="34"/>
    <w:pPr>
      <w:ind w:firstLine="420" w:firstLineChars="200"/>
    </w:pPr>
    <w:rPr>
      <w:rFonts w:asciiTheme="minorHAnsi" w:hAnsiTheme="minorHAnsi" w:eastAsiaTheme="minorEastAsia" w:cstheme="minorBidi"/>
      <w:szCs w:val="22"/>
    </w:rPr>
  </w:style>
  <w:style w:type="paragraph" w:customStyle="1" w:styleId="153">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154">
    <w:name w:val="Table Text"/>
    <w:basedOn w:val="1"/>
    <w:semiHidden/>
    <w:qFormat/>
    <w:uiPriority w:val="0"/>
    <w:rPr>
      <w:rFonts w:ascii="宋体" w:hAnsi="宋体" w:cs="宋体"/>
      <w:sz w:val="18"/>
      <w:szCs w:val="18"/>
      <w:lang w:eastAsia="en-US"/>
    </w:rPr>
  </w:style>
  <w:style w:type="table" w:customStyle="1" w:styleId="155">
    <w:name w:val="Table Normal"/>
    <w:semiHidden/>
    <w:unhideWhenUsed/>
    <w:qFormat/>
    <w:uiPriority w:val="0"/>
    <w:tblPr>
      <w:tblCellMar>
        <w:top w:w="0" w:type="dxa"/>
        <w:left w:w="0" w:type="dxa"/>
        <w:bottom w:w="0" w:type="dxa"/>
        <w:right w:w="0" w:type="dxa"/>
      </w:tblCellMar>
    </w:tblPr>
  </w:style>
  <w:style w:type="character" w:customStyle="1" w:styleId="156">
    <w:name w:val="font31"/>
    <w:basedOn w:val="38"/>
    <w:qFormat/>
    <w:uiPriority w:val="0"/>
    <w:rPr>
      <w:rFonts w:hint="default" w:ascii="Times New Roman" w:hAnsi="Times New Roman" w:cs="Times New Roman"/>
      <w:color w:val="000000"/>
      <w:sz w:val="20"/>
      <w:szCs w:val="20"/>
      <w:u w:val="none"/>
    </w:rPr>
  </w:style>
  <w:style w:type="character" w:customStyle="1" w:styleId="157">
    <w:name w:val="font71"/>
    <w:basedOn w:val="38"/>
    <w:qFormat/>
    <w:uiPriority w:val="0"/>
    <w:rPr>
      <w:rFonts w:hint="eastAsia" w:ascii="仿宋" w:hAnsi="仿宋" w:eastAsia="仿宋" w:cs="仿宋"/>
      <w:color w:val="000000"/>
      <w:sz w:val="20"/>
      <w:szCs w:val="20"/>
      <w:u w:val="none"/>
    </w:rPr>
  </w:style>
  <w:style w:type="character" w:customStyle="1" w:styleId="158">
    <w:name w:val="font41"/>
    <w:basedOn w:val="38"/>
    <w:qFormat/>
    <w:uiPriority w:val="0"/>
    <w:rPr>
      <w:rFonts w:hint="default" w:ascii="Times New Roman" w:hAnsi="Times New Roman" w:cs="Times New Roman"/>
      <w:color w:val="000000"/>
      <w:sz w:val="20"/>
      <w:szCs w:val="20"/>
      <w:u w:val="none"/>
    </w:rPr>
  </w:style>
  <w:style w:type="character" w:customStyle="1" w:styleId="159">
    <w:name w:val="font91"/>
    <w:basedOn w:val="38"/>
    <w:qFormat/>
    <w:uiPriority w:val="0"/>
    <w:rPr>
      <w:rFonts w:hint="eastAsia" w:ascii="仿宋" w:hAnsi="仿宋" w:eastAsia="仿宋" w:cs="仿宋"/>
      <w:color w:val="000000"/>
      <w:sz w:val="20"/>
      <w:szCs w:val="20"/>
      <w:u w:val="none"/>
    </w:rPr>
  </w:style>
  <w:style w:type="character" w:customStyle="1" w:styleId="160">
    <w:name w:val="font21"/>
    <w:basedOn w:val="38"/>
    <w:qFormat/>
    <w:uiPriority w:val="0"/>
    <w:rPr>
      <w:rFonts w:hint="eastAsia" w:ascii="仿宋" w:hAnsi="仿宋" w:eastAsia="仿宋" w:cs="仿宋"/>
      <w:color w:val="000000"/>
      <w:sz w:val="20"/>
      <w:szCs w:val="20"/>
      <w:u w:val="none"/>
    </w:rPr>
  </w:style>
  <w:style w:type="character" w:customStyle="1" w:styleId="161">
    <w:name w:val="font81"/>
    <w:basedOn w:val="38"/>
    <w:qFormat/>
    <w:uiPriority w:val="0"/>
    <w:rPr>
      <w:rFonts w:hint="default" w:ascii="Times New Roman" w:hAnsi="Times New Roman" w:cs="Times New Roman"/>
      <w:color w:val="000000"/>
      <w:sz w:val="20"/>
      <w:szCs w:val="20"/>
      <w:u w:val="none"/>
    </w:rPr>
  </w:style>
  <w:style w:type="paragraph" w:customStyle="1" w:styleId="162">
    <w:name w:val="WPSOffice手动目录 1"/>
    <w:qFormat/>
    <w:uiPriority w:val="0"/>
    <w:rPr>
      <w:rFonts w:ascii="Times New Roman" w:hAnsi="Times New Roman" w:eastAsia="宋体" w:cs="Times New Roman"/>
      <w:lang w:val="en-US" w:eastAsia="zh-CN" w:bidi="ar-SA"/>
    </w:rPr>
  </w:style>
  <w:style w:type="paragraph" w:customStyle="1" w:styleId="163">
    <w:name w:val="标准文件_字母编号列项（一级）"/>
    <w:qFormat/>
    <w:uiPriority w:val="0"/>
    <w:pPr>
      <w:numPr>
        <w:ilvl w:val="0"/>
        <w:numId w:val="4"/>
      </w:numPr>
      <w:jc w:val="both"/>
    </w:pPr>
    <w:rPr>
      <w:rFonts w:ascii="宋体" w:hAnsi="Times New Roman" w:eastAsia="宋体" w:cs="Times New Roman"/>
      <w:sz w:val="21"/>
      <w:lang w:val="en-US" w:eastAsia="zh-CN" w:bidi="ar-SA"/>
    </w:rPr>
  </w:style>
  <w:style w:type="paragraph" w:customStyle="1" w:styleId="164">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65">
    <w:name w:val="标准文件_正文表标题"/>
    <w:next w:val="164"/>
    <w:qFormat/>
    <w:uiPriority w:val="0"/>
    <w:pPr>
      <w:numPr>
        <w:ilvl w:val="0"/>
        <w:numId w:val="10"/>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66">
    <w:name w:val="标准文件_表格"/>
    <w:basedOn w:val="164"/>
    <w:qFormat/>
    <w:uiPriority w:val="0"/>
    <w:pPr>
      <w:ind w:firstLine="0" w:firstLineChars="0"/>
      <w:jc w:val="center"/>
    </w:pPr>
    <w:rPr>
      <w:sz w:val="1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fontTable" Target="fontTable.xml"/><Relationship Id="rId22" Type="http://schemas.microsoft.com/office/2006/relationships/keyMapCustomizations" Target="customizations.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png"/><Relationship Id="rId18" Type="http://schemas.openxmlformats.org/officeDocument/2006/relationships/theme" Target="theme/theme1.xml"/><Relationship Id="rId17" Type="http://schemas.openxmlformats.org/officeDocument/2006/relationships/footer" Target="footer9.xml"/><Relationship Id="rId16" Type="http://schemas.openxmlformats.org/officeDocument/2006/relationships/footer" Target="footer8.xml"/><Relationship Id="rId15" Type="http://schemas.openxmlformats.org/officeDocument/2006/relationships/footer" Target="footer7.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25</Pages>
  <Words>5848</Words>
  <Characters>6884</Characters>
  <Lines>131</Lines>
  <Paragraphs>37</Paragraphs>
  <TotalTime>5</TotalTime>
  <ScaleCrop>false</ScaleCrop>
  <LinksUpToDate>false</LinksUpToDate>
  <CharactersWithSpaces>7118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2022-04-10T21:13:00Z</dcterms:created>
  <dc:creator>CNIS</dc:creator>
  <cp:lastModifiedBy>liuning</cp:lastModifiedBy>
  <cp:lastPrinted>2015-07-22T09:19:00Z</cp:lastPrinted>
  <dcterms:modified xsi:type="dcterms:W3CDTF">2026-03-19T02:28:50Z</dcterms:modified>
  <dc:title>标准名称</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A2FBFD91B2A04A239B66A1AF678C1C14_13</vt:lpwstr>
  </property>
  <property fmtid="{D5CDD505-2E9C-101B-9397-08002B2CF9AE}" pid="4" name="KSOTemplateDocerSaveRecord">
    <vt:lpwstr>eyJoZGlkIjoiNDY1YjJiMzMwNTI2MzI4MTc3NjAxNDQ0ZDFjYTQ4MmIiLCJ1c2VySWQiOiIzNDY2OTc3NTQifQ==</vt:lpwstr>
  </property>
</Properties>
</file>